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April 20, 2026</w:t>
      </w:r>
    </w:p>
    <w:p>
      <w:pPr>
        <w:spacing w:after="0" w:line="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333-294664​</w:t>
      </w:r>
    </w:p>
    <w:p>
      <w:pPr>
        <w:ind w:left="500"/>
        <w:spacing w:after="0" w:line="219"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135255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Amendment No. 1</w:t>
      </w:r>
    </w:p>
    <w:p>
      <w:pPr>
        <w:spacing w:after="0" w:line="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F-3</w:t>
      </w:r>
    </w:p>
    <w:p>
      <w:pPr>
        <w:spacing w:after="0" w:line="2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jc w:val="center"/>
        <w:ind w:right="-419"/>
        <w:spacing w:after="0" w:line="235" w:lineRule="auto"/>
        <w:rPr>
          <w:sz w:val="20"/>
          <w:szCs w:val="20"/>
          <w:color w:val="auto"/>
        </w:rPr>
      </w:pPr>
      <w:r>
        <w:rPr>
          <w:rFonts w:ascii="Times New Roman" w:cs="Times New Roman" w:eastAsia="Times New Roman" w:hAnsi="Times New Roman"/>
          <w:sz w:val="15"/>
          <w:szCs w:val="15"/>
          <w:b w:val="1"/>
          <w:b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50800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9"/>
          <w:szCs w:val="29"/>
          <w:b w:val="1"/>
          <w:bCs w:val="1"/>
          <w:color w:val="auto"/>
        </w:rPr>
        <w:t>Aurora Mobile Limited</w:t>
      </w:r>
    </w:p>
    <w:p>
      <w:pPr>
        <w:spacing w:after="0" w:line="3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45085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1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53340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7" w:lineRule="exact"/>
        <w:rPr>
          <w:sz w:val="24"/>
          <w:szCs w:val="24"/>
          <w:color w:val="auto"/>
        </w:rPr>
      </w:pPr>
    </w:p>
    <w:tbl>
      <w:tblPr>
        <w:tblLayout w:type="fixed"/>
        <w:tblInd w:w="500" w:type="dxa"/>
        <w:tblCellMar>
          <w:top w:w="0" w:type="dxa"/>
          <w:left w:w="0" w:type="dxa"/>
          <w:bottom w:w="0" w:type="dxa"/>
          <w:right w:w="0" w:type="dxa"/>
        </w:tblCellMar>
      </w:tblPr>
      <w:tr>
        <w:trPr>
          <w:trHeight w:val="18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1080"/>
              <w:spacing w:after="0"/>
              <w:rPr>
                <w:sz w:val="20"/>
                <w:szCs w:val="20"/>
                <w:color w:val="auto"/>
              </w:rPr>
            </w:pPr>
            <w:r>
              <w:rPr>
                <w:rFonts w:ascii="Times New Roman" w:cs="Times New Roman" w:eastAsia="Times New Roman" w:hAnsi="Times New Roman"/>
                <w:sz w:val="15"/>
                <w:szCs w:val="15"/>
                <w:b w:val="1"/>
                <w:bCs w:val="1"/>
                <w:color w:val="auto"/>
              </w:rPr>
              <w:t>Cayman Islands</w:t>
            </w:r>
          </w:p>
        </w:tc>
        <w:tc>
          <w:tcPr>
            <w:tcW w:w="18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 ​</w:t>
            </w:r>
          </w:p>
        </w:tc>
        <w:tc>
          <w:tcPr>
            <w:tcW w:w="3000" w:type="dxa"/>
            <w:vAlign w:val="bottom"/>
          </w:tcPr>
          <w:p>
            <w:pPr>
              <w:ind w:left="104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9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r>
      <w:tr>
        <w:trPr>
          <w:trHeight w:val="127"/>
        </w:trPr>
        <w:tc>
          <w:tcPr>
            <w:tcW w:w="800" w:type="dxa"/>
            <w:vAlign w:val="bottom"/>
          </w:tcPr>
          <w:p>
            <w:pPr>
              <w:spacing w:after="0"/>
              <w:rPr>
                <w:sz w:val="11"/>
                <w:szCs w:val="11"/>
                <w:color w:val="auto"/>
              </w:rPr>
            </w:pPr>
          </w:p>
        </w:tc>
        <w:tc>
          <w:tcPr>
            <w:tcW w:w="3200" w:type="dxa"/>
            <w:vAlign w:val="bottom"/>
          </w:tcPr>
          <w:p>
            <w:pPr>
              <w:ind w:left="780"/>
              <w:spacing w:after="0" w:line="128" w:lineRule="exact"/>
              <w:rPr>
                <w:sz w:val="20"/>
                <w:szCs w:val="20"/>
                <w:color w:val="auto"/>
              </w:rPr>
            </w:pPr>
            <w:r>
              <w:rPr>
                <w:rFonts w:ascii="Times New Roman" w:cs="Times New Roman" w:eastAsia="Times New Roman" w:hAnsi="Times New Roman"/>
                <w:sz w:val="13"/>
                <w:szCs w:val="13"/>
                <w:color w:val="auto"/>
              </w:rPr>
              <w:t>(Stale or other jurisdiction of</w:t>
            </w:r>
          </w:p>
        </w:tc>
        <w:tc>
          <w:tcPr>
            <w:tcW w:w="1840" w:type="dxa"/>
            <w:vAlign w:val="bottom"/>
          </w:tcPr>
          <w:p>
            <w:pPr>
              <w:spacing w:after="0"/>
              <w:rPr>
                <w:sz w:val="11"/>
                <w:szCs w:val="11"/>
                <w:color w:val="auto"/>
              </w:rPr>
            </w:pPr>
          </w:p>
        </w:tc>
        <w:tc>
          <w:tcPr>
            <w:tcW w:w="300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rPr>
              <w:t>(I.R.S. Employer</w:t>
            </w:r>
          </w:p>
        </w:tc>
        <w:tc>
          <w:tcPr>
            <w:tcW w:w="920" w:type="dxa"/>
            <w:vAlign w:val="bottom"/>
          </w:tcPr>
          <w:p>
            <w:pPr>
              <w:spacing w:after="0"/>
              <w:rPr>
                <w:sz w:val="11"/>
                <w:szCs w:val="11"/>
                <w:color w:val="auto"/>
              </w:rPr>
            </w:pPr>
          </w:p>
        </w:tc>
      </w:tr>
      <w:tr>
        <w:trPr>
          <w:trHeight w:val="191"/>
        </w:trPr>
        <w:tc>
          <w:tcPr>
            <w:tcW w:w="800" w:type="dxa"/>
            <w:vAlign w:val="bottom"/>
          </w:tcPr>
          <w:p>
            <w:pPr>
              <w:spacing w:after="0"/>
              <w:rPr>
                <w:sz w:val="16"/>
                <w:szCs w:val="16"/>
                <w:color w:val="auto"/>
              </w:rPr>
            </w:pPr>
          </w:p>
        </w:tc>
        <w:tc>
          <w:tcPr>
            <w:tcW w:w="32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incorporation or organization)</w:t>
            </w:r>
            <w:r>
              <w:rPr>
                <w:rFonts w:ascii="Times New Roman" w:cs="Times New Roman" w:eastAsia="Times New Roman" w:hAnsi="Times New Roman"/>
                <w:sz w:val="14"/>
                <w:szCs w:val="14"/>
                <w:color w:val="auto"/>
              </w:rPr>
              <w:t>​</w:t>
            </w:r>
          </w:p>
        </w:tc>
        <w:tc>
          <w:tcPr>
            <w:tcW w:w="1840" w:type="dxa"/>
            <w:vAlign w:val="bottom"/>
          </w:tcPr>
          <w:p>
            <w:pPr>
              <w:spacing w:after="0"/>
              <w:rPr>
                <w:sz w:val="16"/>
                <w:szCs w:val="16"/>
                <w:color w:val="auto"/>
              </w:rPr>
            </w:pPr>
          </w:p>
        </w:tc>
        <w:tc>
          <w:tcPr>
            <w:tcW w:w="30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Identification Number)</w:t>
            </w:r>
          </w:p>
        </w:tc>
        <w:tc>
          <w:tcPr>
            <w:tcW w:w="920" w:type="dxa"/>
            <w:vAlign w:val="bottom"/>
          </w:tcPr>
          <w:p>
            <w:pPr>
              <w:spacing w:after="0"/>
              <w:rPr>
                <w:sz w:val="16"/>
                <w:szCs w:val="16"/>
                <w:color w:val="auto"/>
              </w:rPr>
            </w:pPr>
          </w:p>
        </w:tc>
      </w:tr>
    </w:tbl>
    <w:p>
      <w:pPr>
        <w:spacing w:after="0" w:line="15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31/F, Block 12-A, Shenzhen Bay Science and Technology Ecological Park,</w:t>
      </w:r>
    </w:p>
    <w:p>
      <w:pPr>
        <w:jc w:val="center"/>
        <w:ind w:right="-419"/>
        <w:spacing w:after="0" w:line="235" w:lineRule="auto"/>
        <w:rPr>
          <w:sz w:val="20"/>
          <w:szCs w:val="20"/>
          <w:color w:val="auto"/>
        </w:rPr>
      </w:pPr>
      <w:r>
        <w:rPr>
          <w:rFonts w:ascii="Times New Roman" w:cs="Times New Roman" w:eastAsia="Times New Roman" w:hAnsi="Times New Roman"/>
          <w:sz w:val="15"/>
          <w:szCs w:val="15"/>
          <w:b w:val="1"/>
          <w:bCs w:val="1"/>
          <w:color w:val="auto"/>
        </w:rPr>
        <w:t>Nanshan District, Shenzhen, Guangdong 518057</w:t>
      </w:r>
    </w:p>
    <w:p>
      <w:pPr>
        <w:ind w:left="4540"/>
        <w:spacing w:after="0" w:line="226" w:lineRule="auto"/>
        <w:rPr>
          <w:sz w:val="20"/>
          <w:szCs w:val="20"/>
          <w:color w:val="auto"/>
        </w:rPr>
      </w:pPr>
      <w:r>
        <w:rPr>
          <w:rFonts w:ascii="Times New Roman" w:cs="Times New Roman" w:eastAsia="Times New Roman" w:hAnsi="Times New Roman"/>
          <w:sz w:val="15"/>
          <w:szCs w:val="15"/>
          <w:b w:val="1"/>
          <w:bCs w:val="1"/>
          <w:color w:val="auto"/>
        </w:rPr>
        <w:t>People’s Republic of China</w:t>
      </w:r>
    </w:p>
    <w:p>
      <w:pPr>
        <w:ind w:left="4800"/>
        <w:spacing w:after="0" w:line="233" w:lineRule="auto"/>
        <w:rPr>
          <w:sz w:val="20"/>
          <w:szCs w:val="20"/>
          <w:color w:val="auto"/>
        </w:rPr>
      </w:pPr>
      <w:r>
        <w:rPr>
          <w:rFonts w:ascii="Times New Roman" w:cs="Times New Roman" w:eastAsia="Times New Roman" w:hAnsi="Times New Roman"/>
          <w:sz w:val="15"/>
          <w:szCs w:val="15"/>
          <w:b w:val="1"/>
          <w:bCs w:val="1"/>
          <w:color w:val="auto"/>
        </w:rPr>
        <w:t>+86 755-8388-1462</w:t>
      </w:r>
    </w:p>
    <w:p>
      <w:pPr>
        <w:ind w:left="3400"/>
        <w:spacing w:after="0"/>
        <w:rPr>
          <w:sz w:val="20"/>
          <w:szCs w:val="20"/>
          <w:color w:val="auto"/>
        </w:rPr>
      </w:pPr>
      <w:r>
        <w:rPr>
          <w:rFonts w:ascii="Times New Roman" w:cs="Times New Roman" w:eastAsia="Times New Roman" w:hAnsi="Times New Roman"/>
          <w:sz w:val="13"/>
          <w:szCs w:val="13"/>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53340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Puglisi &amp; Associates</w:t>
      </w:r>
    </w:p>
    <w:p>
      <w:pPr>
        <w:ind w:left="4440"/>
        <w:spacing w:after="0" w:line="235" w:lineRule="auto"/>
        <w:rPr>
          <w:sz w:val="20"/>
          <w:szCs w:val="20"/>
          <w:color w:val="auto"/>
        </w:rPr>
      </w:pPr>
      <w:r>
        <w:rPr>
          <w:rFonts w:ascii="Times New Roman" w:cs="Times New Roman" w:eastAsia="Times New Roman" w:hAnsi="Times New Roman"/>
          <w:sz w:val="15"/>
          <w:szCs w:val="15"/>
          <w:b w:val="1"/>
          <w:bCs w:val="1"/>
          <w:color w:val="auto"/>
        </w:rPr>
        <w:t>850 Library Avenue, Suite 204</w:t>
      </w:r>
    </w:p>
    <w:p>
      <w:pPr>
        <w:ind w:left="4600"/>
        <w:spacing w:after="0" w:line="226" w:lineRule="auto"/>
        <w:rPr>
          <w:sz w:val="20"/>
          <w:szCs w:val="20"/>
          <w:color w:val="auto"/>
        </w:rPr>
      </w:pPr>
      <w:r>
        <w:rPr>
          <w:rFonts w:ascii="Times New Roman" w:cs="Times New Roman" w:eastAsia="Times New Roman" w:hAnsi="Times New Roman"/>
          <w:sz w:val="15"/>
          <w:szCs w:val="15"/>
          <w:b w:val="1"/>
          <w:bCs w:val="1"/>
          <w:color w:val="auto"/>
        </w:rPr>
        <w:t>Newark, Delaware 19711</w:t>
      </w:r>
    </w:p>
    <w:p>
      <w:pPr>
        <w:ind w:left="4920"/>
        <w:spacing w:after="0" w:line="233" w:lineRule="auto"/>
        <w:rPr>
          <w:sz w:val="20"/>
          <w:szCs w:val="20"/>
          <w:color w:val="auto"/>
        </w:rPr>
      </w:pPr>
      <w:r>
        <w:rPr>
          <w:rFonts w:ascii="Times New Roman" w:cs="Times New Roman" w:eastAsia="Times New Roman" w:hAnsi="Times New Roman"/>
          <w:sz w:val="15"/>
          <w:szCs w:val="15"/>
          <w:b w:val="1"/>
          <w:bCs w:val="1"/>
          <w:color w:val="auto"/>
        </w:rPr>
        <w:t>(302) 738-6680</w:t>
      </w:r>
    </w:p>
    <w:p>
      <w:pPr>
        <w:ind w:left="3780"/>
        <w:spacing w:after="0"/>
        <w:rPr>
          <w:sz w:val="20"/>
          <w:szCs w:val="20"/>
          <w:color w:val="auto"/>
        </w:rPr>
      </w:pPr>
      <w:r>
        <w:rPr>
          <w:rFonts w:ascii="Times New Roman" w:cs="Times New Roman" w:eastAsia="Times New Roman" w:hAnsi="Times New Roman"/>
          <w:sz w:val="13"/>
          <w:szCs w:val="13"/>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45085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Shu Du, Esq.</w:t>
      </w:r>
    </w:p>
    <w:p>
      <w:pPr>
        <w:jc w:val="center"/>
        <w:ind w:right="-419"/>
        <w:spacing w:after="0" w:line="235" w:lineRule="auto"/>
        <w:rPr>
          <w:sz w:val="20"/>
          <w:szCs w:val="20"/>
          <w:color w:val="auto"/>
        </w:rPr>
      </w:pPr>
      <w:r>
        <w:rPr>
          <w:rFonts w:ascii="Times New Roman" w:cs="Times New Roman" w:eastAsia="Times New Roman" w:hAnsi="Times New Roman"/>
          <w:sz w:val="15"/>
          <w:szCs w:val="15"/>
          <w:b w:val="1"/>
          <w:bCs w:val="1"/>
          <w:color w:val="auto"/>
        </w:rPr>
        <w:t>Skadden, Arps, Slate, Meagher &amp; Flom LLP</w:t>
      </w:r>
    </w:p>
    <w:p>
      <w:pPr>
        <w:jc w:val="center"/>
        <w:ind w:right="-459"/>
        <w:spacing w:after="0" w:line="226" w:lineRule="auto"/>
        <w:rPr>
          <w:sz w:val="20"/>
          <w:szCs w:val="20"/>
          <w:color w:val="auto"/>
        </w:rPr>
      </w:pPr>
      <w:r>
        <w:rPr>
          <w:rFonts w:ascii="Times New Roman" w:cs="Times New Roman" w:eastAsia="Times New Roman" w:hAnsi="Times New Roman"/>
          <w:sz w:val="15"/>
          <w:szCs w:val="15"/>
          <w:b w:val="1"/>
          <w:bCs w:val="1"/>
          <w:color w:val="auto"/>
        </w:rPr>
        <w:t>30/F, China World Office 2</w:t>
      </w:r>
    </w:p>
    <w:p>
      <w:pPr>
        <w:jc w:val="center"/>
        <w:ind w:right="-459"/>
        <w:spacing w:after="0" w:line="225" w:lineRule="auto"/>
        <w:rPr>
          <w:sz w:val="20"/>
          <w:szCs w:val="20"/>
          <w:color w:val="auto"/>
        </w:rPr>
      </w:pPr>
      <w:r>
        <w:rPr>
          <w:rFonts w:ascii="Times New Roman" w:cs="Times New Roman" w:eastAsia="Times New Roman" w:hAnsi="Times New Roman"/>
          <w:sz w:val="15"/>
          <w:szCs w:val="15"/>
          <w:b w:val="1"/>
          <w:bCs w:val="1"/>
          <w:color w:val="auto"/>
        </w:rPr>
        <w:t>No. 1, Jian Guo Men Wai Avenue</w:t>
      </w:r>
    </w:p>
    <w:p>
      <w:pPr>
        <w:jc w:val="center"/>
        <w:ind w:right="-459"/>
        <w:spacing w:after="0" w:line="226" w:lineRule="auto"/>
        <w:rPr>
          <w:sz w:val="20"/>
          <w:szCs w:val="20"/>
          <w:color w:val="auto"/>
        </w:rPr>
      </w:pPr>
      <w:r>
        <w:rPr>
          <w:rFonts w:ascii="Times New Roman" w:cs="Times New Roman" w:eastAsia="Times New Roman" w:hAnsi="Times New Roman"/>
          <w:sz w:val="15"/>
          <w:szCs w:val="15"/>
          <w:b w:val="1"/>
          <w:bCs w:val="1"/>
          <w:color w:val="auto"/>
        </w:rPr>
        <w:t>Beijing 100004</w:t>
      </w:r>
    </w:p>
    <w:p>
      <w:pPr>
        <w:jc w:val="center"/>
        <w:ind w:right="-459"/>
        <w:spacing w:after="0" w:line="225" w:lineRule="auto"/>
        <w:rPr>
          <w:sz w:val="20"/>
          <w:szCs w:val="20"/>
          <w:color w:val="auto"/>
        </w:rPr>
      </w:pPr>
      <w:r>
        <w:rPr>
          <w:rFonts w:ascii="Times New Roman" w:cs="Times New Roman" w:eastAsia="Times New Roman" w:hAnsi="Times New Roman"/>
          <w:sz w:val="15"/>
          <w:szCs w:val="15"/>
          <w:b w:val="1"/>
          <w:bCs w:val="1"/>
          <w:color w:val="auto"/>
        </w:rPr>
        <w:t>The People’s Republic of China</w:t>
      </w: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(86) 10.6535.5500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42545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 from time to time after the effective date of this registration statement.</w:t>
      </w:r>
    </w:p>
    <w:p>
      <w:pPr>
        <w:spacing w:after="0" w:line="44" w:lineRule="exact"/>
        <w:rPr>
          <w:sz w:val="24"/>
          <w:szCs w:val="24"/>
          <w:color w:val="auto"/>
        </w:rPr>
      </w:pPr>
    </w:p>
    <w:p>
      <w:pPr>
        <w:ind w:left="500" w:right="52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0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0" w:firstLine="360"/>
        <w:spacing w:after="0" w:line="18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2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380" w:firstLine="36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500" w:right="140" w:firstLine="360"/>
        <w:spacing w:after="0" w:line="18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I.C. filed to register additional securities or additional classes of securities` pursuant to Rule 413(b) wider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w:t>
      </w:r>
    </w:p>
    <w:p>
      <w:pPr>
        <w:spacing w:after="0" w:line="19" w:lineRule="exact"/>
        <w:rPr>
          <w:sz w:val="24"/>
          <w:szCs w:val="24"/>
          <w:color w:val="auto"/>
        </w:rPr>
      </w:pPr>
    </w:p>
    <w:p>
      <w:pPr>
        <w:jc w:val="right"/>
        <w:spacing w:after="0" w:line="173" w:lineRule="exact"/>
        <w:tabs>
          <w:tab w:leader="none" w:pos="160" w:val="left"/>
        </w:tabs>
        <w:rPr>
          <w:sz w:val="20"/>
          <w:szCs w:val="20"/>
          <w:color w:val="auto"/>
        </w:rPr>
      </w:pP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6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5"/>
          <w:szCs w:val="15"/>
          <w:color w:val="auto"/>
        </w:rPr>
        <w:t>If an emerging growth company that prepares its financial statements in accordance with U.S. GAAP, indicate by check mark if the registrant has</w:t>
      </w:r>
    </w:p>
    <w:p>
      <w:pPr>
        <w:spacing w:after="0" w:line="6" w:lineRule="exact"/>
        <w:rPr>
          <w:sz w:val="24"/>
          <w:szCs w:val="24"/>
          <w:color w:val="auto"/>
        </w:rPr>
      </w:pPr>
    </w:p>
    <w:p>
      <w:pPr>
        <w:ind w:left="500" w:right="100"/>
        <w:spacing w:after="0" w:line="181" w:lineRule="exact"/>
        <w:rPr>
          <w:sz w:val="20"/>
          <w:szCs w:val="20"/>
          <w:color w:val="auto"/>
        </w:rPr>
      </w:pPr>
      <w:r>
        <w:rPr>
          <w:rFonts w:ascii="Times New Roman" w:cs="Times New Roman" w:eastAsia="Times New Roman" w:hAnsi="Times New Roman"/>
          <w:sz w:val="15"/>
          <w:szCs w:val="15"/>
          <w:color w:val="auto"/>
        </w:rPr>
        <w:t xml:space="preserve">elected not to use the extended transition period for complying with any new or revised financial accounting standards* provided pursuant to Section 7(a)(2) (B)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500" w:right="140" w:firstLine="360"/>
        <w:spacing w:after="0" w:line="25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78105</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2" w:lineRule="exact"/>
        <w:rPr>
          <w:sz w:val="24"/>
          <w:szCs w:val="24"/>
          <w:color w:val="auto"/>
        </w:rPr>
      </w:pPr>
    </w:p>
    <w:p>
      <w:pPr>
        <w:ind w:left="860" w:right="500" w:hanging="368"/>
        <w:spacing w:after="0" w:line="322"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22860</wp:posOffset>
            </wp:positionV>
            <wp:extent cx="6189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281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616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 sell 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 offer</w:t>
            </w:r>
          </w:p>
        </w:tc>
      </w:tr>
      <w:tr>
        <w:trPr>
          <w:trHeight w:val="12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 DATED APRIL 20, 2026</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Aurora Mobile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139065</wp:posOffset>
            </wp:positionV>
            <wp:extent cx="20142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42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9,666,666</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Class A Common Shares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Represented by 725,000 American Depositary Shares</w:t>
      </w:r>
    </w:p>
    <w:p>
      <w:pPr>
        <w:spacing w:after="0" w:line="155" w:lineRule="exact"/>
        <w:rPr>
          <w:sz w:val="20"/>
          <w:szCs w:val="20"/>
          <w:color w:val="auto"/>
        </w:rPr>
      </w:pPr>
    </w:p>
    <w:p>
      <w:pPr>
        <w:ind w:right="139" w:firstLine="360"/>
        <w:spacing w:after="0" w:line="259"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of 9,666,666 of our Class A common shares, represented by 725,000 American Depositary Shares, or ADSs, issuable upon the exercise of warrant, or the Warrant, by the selling securityholder identified in this prospectus. The Warrant was issued by us to the selling securityholder on February 11, 2026, in a private placement offering, or the Private Placement.</w:t>
      </w:r>
    </w:p>
    <w:p>
      <w:pPr>
        <w:spacing w:after="0" w:line="335" w:lineRule="exact"/>
        <w:rPr>
          <w:sz w:val="20"/>
          <w:szCs w:val="20"/>
          <w:color w:val="auto"/>
        </w:rPr>
      </w:pPr>
    </w:p>
    <w:p>
      <w:pPr>
        <w:ind w:right="199" w:firstLine="360"/>
        <w:spacing w:after="0" w:line="261" w:lineRule="auto"/>
        <w:rPr>
          <w:sz w:val="20"/>
          <w:szCs w:val="20"/>
          <w:color w:val="auto"/>
        </w:rPr>
      </w:pPr>
      <w:r>
        <w:rPr>
          <w:rFonts w:ascii="Times New Roman" w:cs="Times New Roman" w:eastAsia="Times New Roman" w:hAnsi="Times New Roman"/>
          <w:sz w:val="18"/>
          <w:szCs w:val="18"/>
          <w:color w:val="auto"/>
        </w:rPr>
        <w:t>We are not selling any Class A common shares or ADSs under this prospectus and will not receive any of the proceeds from the sale or other disposition of Class A common shares (or ADSs representing such shares) by the selling securityholder. However, we will receive proceeds from the exercise, if ever exercised, of the Warrant.</w:t>
      </w:r>
    </w:p>
    <w:p>
      <w:pPr>
        <w:spacing w:after="0" w:line="99" w:lineRule="exact"/>
        <w:rPr>
          <w:sz w:val="20"/>
          <w:szCs w:val="20"/>
          <w:color w:val="auto"/>
        </w:rPr>
      </w:pPr>
    </w:p>
    <w:p>
      <w:pPr>
        <w:ind w:right="1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selling securityholder or its pledgees, donees, transferees, assignees and successors (collectively referred to as the “selling securityholder”) may offer and sell or otherwise dispose of the Class A common shares (or ADSs representing such shares) described in this prospectus from time to time through public or private transactions at prevailing market prices, at prices related to prevailing market prices or at privately negotiated prices. The selling securityholder will bear all commissions and discounts, if any, attributable to the sales of Class A common shares (or ADSs representing such shares). We will bear all other costs, expenses and fees in connection with the registration of the shares. See “Plan of Distribution” beginning on page </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for more information about how the selling securityholder may sell or dispose of its Class A common shares (or ADSs representing such shares).</w:t>
      </w:r>
    </w:p>
    <w:p>
      <w:pPr>
        <w:spacing w:after="0" w:line="121" w:lineRule="exact"/>
        <w:rPr>
          <w:sz w:val="20"/>
          <w:szCs w:val="20"/>
          <w:color w:val="auto"/>
        </w:rPr>
      </w:pPr>
    </w:p>
    <w:p>
      <w:pPr>
        <w:ind w:right="119" w:firstLine="360"/>
        <w:spacing w:after="0" w:line="266" w:lineRule="auto"/>
        <w:rPr>
          <w:sz w:val="20"/>
          <w:szCs w:val="20"/>
          <w:color w:val="auto"/>
        </w:rPr>
      </w:pPr>
      <w:r>
        <w:rPr>
          <w:rFonts w:ascii="Times New Roman" w:cs="Times New Roman" w:eastAsia="Times New Roman" w:hAnsi="Times New Roman"/>
          <w:sz w:val="18"/>
          <w:szCs w:val="18"/>
          <w:color w:val="auto"/>
        </w:rPr>
        <w:t>Our ADSs are listed on the Nasdaq Global Market under the symbol “JG.” On April 17, 2026, the closing price of our ADSs on the Nasdaq Global Market was US$7.17 per ADS. Three ADSs represent forty Class A common shares.</w:t>
      </w:r>
    </w:p>
    <w:p>
      <w:pPr>
        <w:spacing w:after="0" w:line="104" w:lineRule="exact"/>
        <w:rPr>
          <w:sz w:val="20"/>
          <w:szCs w:val="20"/>
          <w:color w:val="auto"/>
        </w:rPr>
      </w:pPr>
    </w:p>
    <w:p>
      <w:pPr>
        <w:ind w:right="1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a high degree of risk. Furthermore, investors should be aware that there are various other risks relating to our securities, the issuer and its subsidiaries, their business and their jurisdictions of operations which investors should familiarize themselves with before making an investment in our securities. Please carefully consider the risks discussed under “Risk Factors” in this prospectus beginning on page </w:t>
      </w:r>
      <w:r>
        <w:rPr>
          <w:rFonts w:ascii="Times New Roman" w:cs="Times New Roman" w:eastAsia="Times New Roman" w:hAnsi="Times New Roman"/>
          <w:sz w:val="18"/>
          <w:szCs w:val="18"/>
          <w:b w:val="1"/>
          <w:bCs w:val="1"/>
          <w:u w:val="single" w:color="auto"/>
          <w:color w:val="0000EE"/>
        </w:rPr>
        <w:t>18</w:t>
      </w:r>
      <w:r>
        <w:rPr>
          <w:rFonts w:ascii="Times New Roman" w:cs="Times New Roman" w:eastAsia="Times New Roman" w:hAnsi="Times New Roman"/>
          <w:sz w:val="18"/>
          <w:szCs w:val="18"/>
          <w:b w:val="1"/>
          <w:bCs w:val="1"/>
          <w:color w:val="auto"/>
        </w:rPr>
        <w:t>, in our reports filed with the Securities and Exchange Commission that are incorporated by reference in this prospectus, and in any applicable prospectus supplement before making a decision to invest in our securities.</w:t>
      </w:r>
    </w:p>
    <w:p>
      <w:pPr>
        <w:spacing w:after="0" w:line="106" w:lineRule="exact"/>
        <w:rPr>
          <w:sz w:val="20"/>
          <w:szCs w:val="20"/>
          <w:color w:val="auto"/>
        </w:rPr>
      </w:pPr>
    </w:p>
    <w:p>
      <w:pPr>
        <w:ind w:right="99" w:firstLine="360"/>
        <w:spacing w:after="0" w:line="251" w:lineRule="auto"/>
        <w:rPr>
          <w:sz w:val="20"/>
          <w:szCs w:val="20"/>
          <w:color w:val="auto"/>
        </w:rPr>
      </w:pPr>
      <w:r>
        <w:rPr>
          <w:rFonts w:ascii="Times New Roman" w:cs="Times New Roman" w:eastAsia="Times New Roman" w:hAnsi="Times New Roman"/>
          <w:sz w:val="18"/>
          <w:szCs w:val="18"/>
          <w:color w:val="auto"/>
        </w:rPr>
        <w:t>Aurora Mobile Limited is not an operating company in China but a Cayman Islands holding company with no equity ownership in its consolidated variable interest entity, or the VIE. We conduct our operations in mainland China, primarily through our subsidiaries incorporated in mainland China, or mainland China subsidiaries, and the VIE with which we have maintained contractual arrangements. Our value-added telecommunications services businesses in mainland China have been conducted through the VIE in order to comply with the laws and regulations of mainland China, which restrict and impose conditions on foreign direct investment in companies involved in the provision of such businesses. Accordingly, we operate these businesses in mainland China through the VIE, and such structure is used to provide investors with exposure to foreign investment in China-based companies where laws and regulations in mainland China prohibit or restrict direct foreign investment in certain operating companies, and rely on contractual arrangements among our mainland China subsidiaries, the VIE and their shareholders to control the business operations of the VIE. These contractual arrangements enable us to: (i) direct the activities of the VIE that most significantly impact its economic performance, (ii) receive the economic benefits of and absorb losses that could potentially be significant to the VIE in consideration for the services provided by our WFOE; and</w:t>
      </w:r>
    </w:p>
    <w:p>
      <w:pPr>
        <w:spacing w:after="0" w:line="12" w:lineRule="exact"/>
        <w:rPr>
          <w:sz w:val="20"/>
          <w:szCs w:val="20"/>
          <w:color w:val="auto"/>
        </w:rPr>
      </w:pPr>
    </w:p>
    <w:p>
      <w:pPr>
        <w:ind w:left="340" w:hanging="336"/>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exclusive option to purchase all or part of the equity interests in and assets of the VIE when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241935</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281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616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 sell 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 offer</w:t>
            </w:r>
          </w:p>
        </w:tc>
      </w:tr>
      <w:tr>
        <w:trPr>
          <w:trHeight w:val="12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99"/>
        <w:spacing w:after="0" w:line="242" w:lineRule="auto"/>
        <w:rPr>
          <w:sz w:val="20"/>
          <w:szCs w:val="20"/>
          <w:color w:val="auto"/>
        </w:rPr>
      </w:pPr>
      <w:r>
        <w:rPr>
          <w:rFonts w:ascii="Times New Roman" w:cs="Times New Roman" w:eastAsia="Times New Roman" w:hAnsi="Times New Roman"/>
          <w:sz w:val="18"/>
          <w:szCs w:val="18"/>
          <w:color w:val="auto"/>
        </w:rPr>
        <w:t>the extent permitted by the laws of mainland China. Because of these contractual arrangements, we are considered the primary beneficiary of the VIE and hence consolidate its financial results with ours under U.S. GAAP for accounting purposes. Investors in our ADSs are not purchasing equity interest in our operating entities in mainland China but instead are purchasing equity interest in a holding company incorporated in the Cayman Islands. As used in this prospectus, “Aurora” refers to Aurora Mobile Limited, and “we,” “us,” “our company,” or “our” refers to Aurora Mobile Limited and its subsidiaries. We refer to Shenzhen Hexun Huagu Information Technology Co., Ltd., or Hexun Huagu, including its subsidiaries, as the “VIE,” and to JPush Information Consultation (Shenzhen) Co., Ltd., or Shenzhen JPush, as our “WFOE” in this prospectus.</w:t>
      </w:r>
    </w:p>
    <w:p>
      <w:pPr>
        <w:spacing w:after="0" w:line="328" w:lineRule="exact"/>
        <w:rPr>
          <w:sz w:val="20"/>
          <w:szCs w:val="20"/>
          <w:color w:val="auto"/>
        </w:rPr>
      </w:pPr>
    </w:p>
    <w:p>
      <w:pPr>
        <w:ind w:right="119" w:firstLine="360"/>
        <w:spacing w:after="0" w:line="243"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could be subject to severe penalties or be forced to relinquish our interests in those operations. Our holding company, our mainland China subsidiaries and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 — D. Risk Factors — Risks Related to Our Corporate Structure” of our annual report on Form 20 -F for the fiscal year ended December 31, 2025, or the 2025 Form 20-F, which is incorporated herein by reference.</w:t>
      </w:r>
    </w:p>
    <w:p>
      <w:pPr>
        <w:spacing w:after="0" w:line="118" w:lineRule="exact"/>
        <w:rPr>
          <w:sz w:val="20"/>
          <w:szCs w:val="20"/>
          <w:color w:val="auto"/>
        </w:rPr>
      </w:pPr>
    </w:p>
    <w:p>
      <w:pPr>
        <w:ind w:right="159" w:firstLine="360"/>
        <w:spacing w:after="0" w:line="242" w:lineRule="auto"/>
        <w:rPr>
          <w:sz w:val="20"/>
          <w:szCs w:val="20"/>
          <w:color w:val="auto"/>
        </w:rPr>
      </w:pPr>
      <w:r>
        <w:rPr>
          <w:rFonts w:ascii="Times New Roman" w:cs="Times New Roman" w:eastAsia="Times New Roman" w:hAnsi="Times New Roman"/>
          <w:sz w:val="18"/>
          <w:szCs w:val="18"/>
          <w:color w:val="auto"/>
        </w:rPr>
        <w:t>We and the VIE face various risks and uncertainties related to doing business in mainland China. Our and the VIE’s business operations are primarily conducted in mainland China, and we are subject to complex and evolving laws and regulations of mainland China. For example, we face risks associated with regulatory approvals on offshore offerings, anti-monopoly regulatory actions, and oversight on cybersecurity and data privacy, as disclosed in this prospectus. This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related to doing business in China, please refer to risks disclosed under “Item 3. Key Information — D. Risk Factors — Risks Related to Doing Business in China” of the 2025 Form 20-F.</w:t>
      </w:r>
    </w:p>
    <w:p>
      <w:pPr>
        <w:spacing w:after="0" w:line="329" w:lineRule="exact"/>
        <w:rPr>
          <w:sz w:val="20"/>
          <w:szCs w:val="20"/>
          <w:color w:val="auto"/>
        </w:rPr>
      </w:pPr>
    </w:p>
    <w:p>
      <w:pPr>
        <w:ind w:right="79" w:firstLine="360"/>
        <w:spacing w:after="0" w:line="246"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For more details, see “Item 3. Key Information —  D. Risk Factors — Risks Related to Doing Business in China — The PRC government’s significant oversight over our or the VIE’s business operation could result in a material adverse change in our and the VIE’s operations and the value of our ADSs” of the 2025 Form 20-F.</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further amended by the Consolidated Appropriations Act, 2023 signed into law on December 29,</w:t>
      </w:r>
    </w:p>
    <w:p>
      <w:pPr>
        <w:spacing w:after="0"/>
        <w:rPr>
          <w:sz w:val="20"/>
          <w:szCs w:val="20"/>
          <w:color w:val="auto"/>
        </w:rPr>
      </w:pPr>
      <w:r>
        <w:rPr>
          <w:rFonts w:ascii="Times New Roman" w:cs="Times New Roman" w:eastAsia="Times New Roman" w:hAnsi="Times New Roman"/>
          <w:sz w:val="18"/>
          <w:szCs w:val="18"/>
          <w:color w:val="auto"/>
        </w:rPr>
        <w:t>2022, or the HFCAA, if the Securities and Exchange Commission, or the SEC, determines that we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audit reports issued by a registered public accounting firm that has not been subject to inspections by</w:t>
      </w:r>
    </w:p>
    <w:p>
      <w:pPr>
        <w:spacing w:after="0" w:line="234" w:lineRule="auto"/>
        <w:rPr>
          <w:sz w:val="20"/>
          <w:szCs w:val="20"/>
          <w:color w:val="auto"/>
        </w:rPr>
      </w:pPr>
      <w:r>
        <w:rPr>
          <w:rFonts w:ascii="Times New Roman" w:cs="Times New Roman" w:eastAsia="Times New Roman" w:hAnsi="Times New Roman"/>
          <w:sz w:val="18"/>
          <w:szCs w:val="18"/>
          <w:color w:val="auto"/>
        </w:rPr>
        <w:t>the Public Company Accounting Oversight Board, or the PCAOB, for two consecutive years, the SEC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 our shares or the ADSs from being traded on a national securities exchange or in the over-the-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 trading market in the United States. On December 16, 2021, the PCAOB issued a report to notify</w:t>
      </w:r>
    </w:p>
    <w:p>
      <w:pPr>
        <w:spacing w:after="0" w:line="234" w:lineRule="auto"/>
        <w:rPr>
          <w:sz w:val="20"/>
          <w:szCs w:val="20"/>
          <w:color w:val="auto"/>
        </w:rPr>
      </w:pPr>
      <w:r>
        <w:rPr>
          <w:rFonts w:ascii="Times New Roman" w:cs="Times New Roman" w:eastAsia="Times New Roman" w:hAnsi="Times New Roman"/>
          <w:sz w:val="18"/>
          <w:szCs w:val="18"/>
          <w:color w:val="auto"/>
        </w:rPr>
        <w:t>the SEC of its determination that the PCAOB was unable to inspect or investigate completely registered</w:t>
      </w:r>
    </w:p>
    <w:p>
      <w:pPr>
        <w:spacing w:after="0" w:line="235" w:lineRule="auto"/>
        <w:rPr>
          <w:sz w:val="20"/>
          <w:szCs w:val="20"/>
          <w:color w:val="auto"/>
        </w:rPr>
      </w:pPr>
      <w:r>
        <w:rPr>
          <w:rFonts w:ascii="Times New Roman" w:cs="Times New Roman" w:eastAsia="Times New Roman" w:hAnsi="Times New Roman"/>
          <w:sz w:val="18"/>
          <w:szCs w:val="18"/>
          <w:color w:val="auto"/>
        </w:rPr>
        <w:t>public accounting firms headquartered in mainland China and Hong Kong, including our auditor.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2022, the SEC conclusively listed us as a Commission-Identified Issuer under the HFCAA following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filing of our annual report on Form 20-F for the fiscal year ended December 31, 2021. On December 15,</w:t>
      </w:r>
    </w:p>
    <w:p>
      <w:pPr>
        <w:spacing w:after="0" w:line="234" w:lineRule="auto"/>
        <w:rPr>
          <w:sz w:val="20"/>
          <w:szCs w:val="20"/>
          <w:color w:val="auto"/>
        </w:rPr>
      </w:pPr>
      <w:r>
        <w:rPr>
          <w:rFonts w:ascii="Times New Roman" w:cs="Times New Roman" w:eastAsia="Times New Roman" w:hAnsi="Times New Roman"/>
          <w:sz w:val="18"/>
          <w:szCs w:val="18"/>
          <w:color w:val="auto"/>
        </w:rPr>
        <w:t>2022, the PCAOB issued a report that vacated its December 16, 2021 determination and removed mainland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and Hong Kong from the list of jurisdictions where it is unable to inspect or investigate completely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public accounting firms. For this reason, we were not identified as a Commission-Identified</w:t>
      </w:r>
    </w:p>
    <w:p>
      <w:pPr>
        <w:spacing w:after="0" w:line="234" w:lineRule="auto"/>
        <w:rPr>
          <w:sz w:val="20"/>
          <w:szCs w:val="20"/>
          <w:color w:val="auto"/>
        </w:rPr>
      </w:pPr>
      <w:r>
        <w:rPr>
          <w:rFonts w:ascii="Times New Roman" w:cs="Times New Roman" w:eastAsia="Times New Roman" w:hAnsi="Times New Roman"/>
          <w:sz w:val="18"/>
          <w:szCs w:val="18"/>
          <w:color w:val="auto"/>
        </w:rPr>
        <w:t>Issuer under the HFCAA after we filed the 2025 Form 20-F. Each year, the PCAOB will determine whether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can inspect and investigate completely audit firms in mainland China and Hong Kong, among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If the PCAOB determines in the future that it no longer has full access to inspect and</w:t>
      </w:r>
    </w:p>
    <w:p>
      <w:pPr>
        <w:spacing w:after="0"/>
        <w:rPr>
          <w:sz w:val="20"/>
          <w:szCs w:val="20"/>
          <w:color w:val="auto"/>
        </w:rPr>
      </w:pPr>
      <w:r>
        <w:rPr>
          <w:rFonts w:ascii="Times New Roman" w:cs="Times New Roman" w:eastAsia="Times New Roman" w:hAnsi="Times New Roman"/>
          <w:sz w:val="18"/>
          <w:szCs w:val="18"/>
          <w:color w:val="auto"/>
        </w:rPr>
        <w:t>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317500</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281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616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 sell 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 offer</w:t>
            </w:r>
          </w:p>
        </w:tc>
      </w:tr>
      <w:tr>
        <w:trPr>
          <w:trHeight w:val="12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completely accounting firms in mainland China and Hong Kong and we use an accounting firm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one of these jurisdictions to issue an audit report on our financial statements filed with the</w:t>
      </w:r>
    </w:p>
    <w:p>
      <w:pPr>
        <w:spacing w:after="0"/>
        <w:rPr>
          <w:sz w:val="20"/>
          <w:szCs w:val="20"/>
          <w:color w:val="auto"/>
        </w:rPr>
      </w:pPr>
      <w:r>
        <w:rPr>
          <w:rFonts w:ascii="Times New Roman" w:cs="Times New Roman" w:eastAsia="Times New Roman" w:hAnsi="Times New Roman"/>
          <w:sz w:val="18"/>
          <w:szCs w:val="18"/>
          <w:color w:val="auto"/>
        </w:rPr>
        <w:t>SEC, we would be identified as a Commission-Identified Issuer following the filing of the annual report 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20-F for the relevant fiscal year. There can be no assurance that we would not be identified as a</w:t>
      </w:r>
    </w:p>
    <w:p>
      <w:pPr>
        <w:spacing w:after="0" w:line="234" w:lineRule="auto"/>
        <w:rPr>
          <w:sz w:val="20"/>
          <w:szCs w:val="20"/>
          <w:color w:val="auto"/>
        </w:rPr>
      </w:pPr>
      <w:r>
        <w:rPr>
          <w:rFonts w:ascii="Times New Roman" w:cs="Times New Roman" w:eastAsia="Times New Roman" w:hAnsi="Times New Roman"/>
          <w:sz w:val="18"/>
          <w:szCs w:val="18"/>
          <w:color w:val="auto"/>
        </w:rPr>
        <w:t>Commission-Identified Issuer for any future fiscal year, and if we were so identified for two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consecutive years, we would become subject to the prohibition on trading under the HFCAA. See “Item 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Information — D. Risk Factors — Risks Related to Doing Business in China — The PCAOB had</w:t>
      </w:r>
    </w:p>
    <w:p>
      <w:pPr>
        <w:spacing w:after="0" w:line="234" w:lineRule="auto"/>
        <w:rPr>
          <w:sz w:val="20"/>
          <w:szCs w:val="20"/>
          <w:color w:val="auto"/>
        </w:rPr>
      </w:pPr>
      <w:r>
        <w:rPr>
          <w:rFonts w:ascii="Times New Roman" w:cs="Times New Roman" w:eastAsia="Times New Roman" w:hAnsi="Times New Roman"/>
          <w:sz w:val="18"/>
          <w:szCs w:val="18"/>
          <w:color w:val="auto"/>
        </w:rPr>
        <w:t>historically been unable to inspect our auditor in relation to their audit work performed for our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and the inability of the PCAOB to conduct inspections of our auditor in the past has deprived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with the benefits of such inspections” and “Item 3. Key Information — D. Risk Factors — Risks</w:t>
      </w:r>
    </w:p>
    <w:p>
      <w:pPr>
        <w:spacing w:after="0" w:line="234" w:lineRule="auto"/>
        <w:rPr>
          <w:sz w:val="20"/>
          <w:szCs w:val="20"/>
          <w:color w:val="auto"/>
        </w:rPr>
      </w:pPr>
      <w:r>
        <w:rPr>
          <w:rFonts w:ascii="Times New Roman" w:cs="Times New Roman" w:eastAsia="Times New Roman" w:hAnsi="Times New Roman"/>
          <w:sz w:val="18"/>
          <w:szCs w:val="18"/>
          <w:color w:val="auto"/>
        </w:rPr>
        <w:t>Related to Doing Business in China — Our ADSs may be prohibited from trading in the United States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HFCAA in the future if the PCAOB is unable to inspect or investigate completely auditors located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The delisting of trading of the ADSs, or the threat of their being delisted, may materially and</w:t>
      </w:r>
    </w:p>
    <w:p>
      <w:pPr>
        <w:spacing w:after="0"/>
        <w:rPr>
          <w:sz w:val="20"/>
          <w:szCs w:val="20"/>
          <w:color w:val="auto"/>
        </w:rPr>
      </w:pPr>
      <w:r>
        <w:rPr>
          <w:rFonts w:ascii="Times New Roman" w:cs="Times New Roman" w:eastAsia="Times New Roman" w:hAnsi="Times New Roman"/>
          <w:sz w:val="18"/>
          <w:szCs w:val="18"/>
          <w:color w:val="auto"/>
        </w:rPr>
        <w:t>adversely affect the value of your investment” of the 2025 Form 20-F.</w:t>
      </w:r>
    </w:p>
    <w:p>
      <w:pPr>
        <w:spacing w:after="0" w:line="124" w:lineRule="exact"/>
        <w:rPr>
          <w:sz w:val="20"/>
          <w:szCs w:val="20"/>
          <w:color w:val="auto"/>
        </w:rPr>
      </w:pPr>
    </w:p>
    <w:p>
      <w:pPr>
        <w:ind w:right="119" w:firstLine="360"/>
        <w:spacing w:after="0" w:line="242" w:lineRule="auto"/>
        <w:rPr>
          <w:sz w:val="20"/>
          <w:szCs w:val="20"/>
          <w:color w:val="auto"/>
        </w:rPr>
      </w:pPr>
      <w:r>
        <w:rPr>
          <w:rFonts w:ascii="Times New Roman" w:cs="Times New Roman" w:eastAsia="Times New Roman" w:hAnsi="Times New Roman"/>
          <w:sz w:val="18"/>
          <w:szCs w:val="18"/>
          <w:color w:val="auto"/>
        </w:rPr>
        <w:t>We conduct our operations primarily through our WFOE and the VIE. As a result, Aurora’s ability to pay dividends depends upon 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its after-tax profits based on mainland China’s accounting standards to a discretionary surplus fund at its discretion. The statutory reserve funds and the discretionary funds are not distributable as cash dividends. For more details, see “Item 5. Operating and Financial Review and Prospects — B. Liquidity and Capital Resources — Holding Company Structure” and “Item 3. Key Information — Cash Flows through Our Organization” of the 2025 Form 20-F.</w:t>
      </w:r>
    </w:p>
    <w:p>
      <w:pPr>
        <w:spacing w:after="0" w:line="112" w:lineRule="exact"/>
        <w:rPr>
          <w:sz w:val="20"/>
          <w:szCs w:val="20"/>
          <w:color w:val="auto"/>
        </w:rPr>
      </w:pPr>
    </w:p>
    <w:p>
      <w:pPr>
        <w:ind w:right="29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407670</wp:posOffset>
            </wp:positionV>
            <wp:extent cx="68065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5220" w:type="dxa"/>
            <w:vAlign w:val="bottom"/>
            <w:gridSpan w:val="1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2980" w:type="dxa"/>
            <w:vAlign w:val="bottom"/>
            <w:gridSpan w:val="3"/>
            <w:shd w:val="clear" w:color="auto" w:fill="CCEEFF"/>
          </w:tcPr>
          <w:p>
            <w:pPr>
              <w:ind w:left="264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900" w:type="dxa"/>
            <w:vAlign w:val="bottom"/>
            <w:gridSpan w:val="2"/>
            <w:vMerge w:val="restart"/>
          </w:tcPr>
          <w:p>
            <w:pPr>
              <w:ind w:left="26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2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900" w:type="dxa"/>
            <w:vAlign w:val="bottom"/>
            <w:gridSpan w:val="2"/>
            <w:vMerge w:val="restart"/>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4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290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0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3"/>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4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480" w:type="dxa"/>
            <w:vAlign w:val="bottom"/>
            <w:tcBorders>
              <w:bottom w:val="single" w:sz="8" w:color="CCEEFF"/>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60" w:type="dxa"/>
            <w:vAlign w:val="bottom"/>
            <w:gridSpan w:val="4"/>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20" w:type="dxa"/>
            <w:vAlign w:val="bottom"/>
            <w:tcBorders>
              <w:bottom w:val="single" w:sz="8" w:color="CCEEFF"/>
            </w:tcBorders>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60" w:type="dxa"/>
            <w:vAlign w:val="bottom"/>
            <w:tcBorders>
              <w:bottom w:val="single" w:sz="8" w:color="CCEEFF"/>
            </w:tcBorders>
            <w:gridSpan w:val="6"/>
            <w:shd w:val="clear" w:color="auto" w:fill="CCEEFF"/>
          </w:tcPr>
          <w:p>
            <w:pPr>
              <w:spacing w:after="0"/>
              <w:rPr>
                <w:sz w:val="2"/>
                <w:szCs w:val="2"/>
                <w:color w:val="auto"/>
              </w:rPr>
            </w:pPr>
          </w:p>
        </w:tc>
        <w:tc>
          <w:tcPr>
            <w:tcW w:w="560" w:type="dxa"/>
            <w:vAlign w:val="bottom"/>
            <w:tcBorders>
              <w:bottom w:val="single" w:sz="8" w:color="CCEEFF"/>
            </w:tcBorders>
            <w:gridSpan w:val="2"/>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740" w:type="dxa"/>
            <w:vAlign w:val="bottom"/>
            <w:tcBorders>
              <w:bottom w:val="single" w:sz="8" w:color="CCEEFF"/>
            </w:tcBorders>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480" w:type="dxa"/>
            <w:vAlign w:val="bottom"/>
            <w:tcBorders>
              <w:bottom w:val="single" w:sz="8" w:color="CCEEFF"/>
            </w:tcBorders>
            <w:gridSpan w:val="1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740" w:type="dxa"/>
            <w:vAlign w:val="bottom"/>
            <w:tcBorders>
              <w:bottom w:val="single" w:sz="8" w:color="CCEEFF"/>
            </w:tcBorders>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EXPENSES</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2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2440" w:type="dxa"/>
            <w:vAlign w:val="bottom"/>
            <w:tcBorders>
              <w:bottom w:val="single" w:sz="8" w:color="CCEEFF"/>
            </w:tcBorders>
            <w:gridSpan w:val="10"/>
            <w:shd w:val="clear" w:color="auto" w:fill="CCEEFF"/>
          </w:tcPr>
          <w:p>
            <w:pPr>
              <w:spacing w:after="0"/>
              <w:rPr>
                <w:sz w:val="2"/>
                <w:szCs w:val="2"/>
                <w:color w:val="auto"/>
              </w:rPr>
            </w:pPr>
          </w:p>
        </w:tc>
        <w:tc>
          <w:tcPr>
            <w:tcW w:w="1280" w:type="dxa"/>
            <w:vAlign w:val="bottom"/>
            <w:tcBorders>
              <w:bottom w:val="single" w:sz="8" w:color="CCEEFF"/>
            </w:tcBorders>
            <w:gridSpan w:val="2"/>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40" w:type="dxa"/>
            <w:vAlign w:val="bottom"/>
            <w:gridSpan w:val="10"/>
          </w:tcPr>
          <w:p>
            <w:pPr>
              <w:spacing w:after="0"/>
              <w:rPr>
                <w:sz w:val="2"/>
                <w:szCs w:val="2"/>
                <w:color w:val="auto"/>
              </w:rPr>
            </w:pPr>
          </w:p>
        </w:tc>
        <w:tc>
          <w:tcPr>
            <w:tcW w:w="1280" w:type="dxa"/>
            <w:vAlign w:val="bottom"/>
            <w:gridSpan w:val="2"/>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40" w:type="dxa"/>
            <w:vAlign w:val="bottom"/>
            <w:tcBorders>
              <w:bottom w:val="single" w:sz="8" w:color="CCEEFF"/>
            </w:tcBorders>
            <w:gridSpan w:val="14"/>
            <w:shd w:val="clear" w:color="auto" w:fill="CCEEFF"/>
          </w:tcPr>
          <w:p>
            <w:pPr>
              <w:spacing w:after="0"/>
              <w:rPr>
                <w:sz w:val="2"/>
                <w:szCs w:val="2"/>
                <w:color w:val="auto"/>
              </w:rPr>
            </w:pPr>
          </w:p>
        </w:tc>
        <w:tc>
          <w:tcPr>
            <w:tcW w:w="1280" w:type="dxa"/>
            <w:vAlign w:val="bottom"/>
            <w:tcBorders>
              <w:bottom w:val="single" w:sz="8" w:color="CCEEFF"/>
            </w:tcBorders>
            <w:gridSpan w:val="2"/>
            <w:shd w:val="clear" w:color="auto" w:fill="CCEEFF"/>
          </w:tcPr>
          <w:p>
            <w:pPr>
              <w:spacing w:after="0"/>
              <w:rPr>
                <w:sz w:val="2"/>
                <w:szCs w:val="2"/>
                <w:color w:val="auto"/>
              </w:rPr>
            </w:pP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0000EE"/>
                <w:w w:val="77"/>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tcPr>
          <w:p>
            <w:pPr>
              <w:spacing w:after="0"/>
              <w:rPr>
                <w:sz w:val="2"/>
                <w:szCs w:val="2"/>
                <w:color w:val="auto"/>
              </w:rPr>
            </w:pPr>
          </w:p>
        </w:tc>
        <w:tc>
          <w:tcPr>
            <w:tcW w:w="2800" w:type="dxa"/>
            <w:vAlign w:val="bottom"/>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980" w:type="dxa"/>
            <w:vAlign w:val="bottom"/>
            <w:gridSpan w:val="3"/>
            <w:shd w:val="clear" w:color="auto" w:fill="CCEEFF"/>
          </w:tcPr>
          <w:p>
            <w:pPr>
              <w:ind w:left="2800"/>
              <w:spacing w:after="0"/>
              <w:rPr>
                <w:sz w:val="20"/>
                <w:szCs w:val="20"/>
                <w:color w:val="auto"/>
              </w:rPr>
            </w:pPr>
            <w:r>
              <w:rPr>
                <w:rFonts w:ascii="Times New Roman" w:cs="Times New Roman" w:eastAsia="Times New Roman" w:hAnsi="Times New Roman"/>
                <w:sz w:val="18"/>
                <w:szCs w:val="18"/>
                <w:color w:val="0000EE"/>
                <w:w w:val="77"/>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220" w:type="dxa"/>
            <w:vAlign w:val="bottom"/>
            <w:tcBorders>
              <w:bottom w:val="single" w:sz="8" w:color="CCEEFF"/>
            </w:tcBorders>
            <w:gridSpan w:val="1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0" w:type="dxa"/>
            <w:vAlign w:val="bottom"/>
            <w:tcBorders>
              <w:bottom w:val="single" w:sz="8" w:color="CCEEFF"/>
            </w:tcBorders>
            <w:shd w:val="clear" w:color="auto" w:fill="CCEEFF"/>
          </w:tcPr>
          <w:p>
            <w:pPr>
              <w:ind w:left="264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6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or incorporated by reference into this prospectus, in the applicable prospectus supplement or in any free writing prospectus filed by us with the SEC. We have not, and the selling securityholder has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104"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We are not, and the selling securityholder is not, making an offer to sell the securities or soliciting an offer to buy the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securityholder may, from time to time, offer and sell, as applicable, any of the Class A common shares (or ADSs representing such shares) described in this prospectus in one or more offerings, through any means described in the section entitled “Plan of Distribution.” We may also add, update or change other information contained in this prospectus by means of a prospectus supplement or by incorporating by reference information we file with the SEC. If there is any inconsistency between the information in this prospectus and any applicable prospectus supplement, you should rely on the information in the applicable prospectus supplement. 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Documents by Reference.”</w:t>
      </w:r>
    </w:p>
    <w:p>
      <w:pPr>
        <w:spacing w:after="0" w:line="32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or any document incorporated by reference is truthful or complete at any date other than the date mentioned on the cover page of any such document, regardless of the time of delivery of this prospectus or any applicable prospectus supplement, or any sale of a security. Our business, financial condition, results of operations and prospects may have changed since those dates.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25" w:lineRule="exact"/>
        <w:rPr>
          <w:sz w:val="20"/>
          <w:szCs w:val="20"/>
          <w:color w:val="auto"/>
        </w:rPr>
      </w:pPr>
    </w:p>
    <w:p>
      <w:pPr>
        <w:ind w:left="1620" w:right="719"/>
        <w:spacing w:after="0" w:line="414" w:lineRule="auto"/>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 references to “ADRs” are to the American depositary receipts which may evidence the ADSs;</w:t>
      </w:r>
    </w:p>
    <w:p>
      <w:pPr>
        <w:spacing w:after="0" w:line="1"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“ADSs” refers to our American depositary shares, every 3 of which represent 40 Class A common shares; On December 11, 2023, we effected an ADS ratio change to adjust our common share to ADS ratio from 3 ADSs representing 2 Class A common shares to 3 ADSs representing 40 Class A common shares. Except otherwise stated, the ADS ratio change has been retrospectively applied for all periods presented in this prospectus;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“AI” refers to artificial intelligence;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“Aurora” refers to Aurora Mobile Limited, our Cayman Islands holding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“BVI” refers to the British Virgin Islands;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“China” or the “PRC” refers to the People’s Republic of China, including Hong Kong and Macau;</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A common shares” refers to our Class A common shares of par value US$0.0001 per share;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B common shares” refers to our Class B common shares of par value US$0.0001 per share;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“common shares” refers to our common shares, par value US$0.0001 per share;</w:t>
      </w:r>
    </w:p>
    <w:p>
      <w:pPr>
        <w:spacing w:after="0" w:line="15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“cumulative app installations” as of a certain date are to the cumulative number of apps that have installed one or more of the SDKs offered as part of our developer services as of the same date;</w:t>
      </w:r>
    </w:p>
    <w:p>
      <w:pPr>
        <w:spacing w:after="0" w:line="95"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“customers” in a given period are to those that purchase at least one of our paid-for SAAS Businesses or targeted marketing during the same period. We treat each contracting party as a separate customer although it is possible that a company may have more than one contracting party to enter into contracts with us and multiple entities within one corporate group may use the same contracting party to enter into contracts with us;</w:t>
      </w: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“GAAP” or “U.S. GAAP” are to accounting principles generally accepted in the United States of America;</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“SAAS Businesses” refers to our developer services and vertical applications;</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“VIE” refers to Shenzhen Hexun Huagu Information Technology Co., Ltd., or Hexun Huagu, including its subsidiaries, Wuhan SendCloud Technology Co., Ltd., or Wuhan SendCloud, and Ifaxin (Hubei) Cloud Co., Ltd., or Ifaxin;</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“WFOE” refers to JPush Information Consultation (Shenzhen) Co., Ltd., or Shenzhen JPush;</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“RMB” and “Renminbi” refer to the legal currency of mainland China;</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“SAAS” refers to Software-as-a-Service;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“U.S. dollars,” “$,” and “dollars” refer to the legal currency of the United States; and</w:t>
      </w:r>
    </w:p>
    <w:p>
      <w:pPr>
        <w:spacing w:after="0" w:line="15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“us,” “our company” and “our” refer to Aurora Mobile Limited, our Cayman Islands holding company, and its subsidiaries.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prospectus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10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300"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develop new technology, services and products and keep up with changes in the industries in which we operate;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mobile internet industry and the mobile app developer services market in China;</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growing application of big data technology in China, including in areas such as mobile online marketing, financial risk management, and market intelligence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SAAS Businesses;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app developers, customers, strategic partners and other stakeholders;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general economic and business conditions in China and globally.</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forward-looking statements included in this prospectus, in the documents incorporated by reference herein and in any prospectus supplement are subject to risks, uncertainties and assumptions about our company. Our actual results of operations may differ materially from the forward-looking statements as a result of the risk factors disclosed in this prospectus, in the documents incorporated by reference herein or in any applicable prospectus supplement.</w:t>
      </w:r>
    </w:p>
    <w:p>
      <w:pPr>
        <w:spacing w:after="0" w:line="10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We qualify all of our forward-looking statements by these cautionary statements.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along with the other documents incorporated by reference in this prospectus. Before making your investment decision with respect to our securities, you should carefully read this entire prospectus, including our financial statements and related notes and the other documents incorporated by reference in this prospectus, as well as any prospectus supplement or any other documents incorporated by reference herein or therein, including the information under the caption “Item 3. Key Information — D. Risk Factors” in the 2025 Form 20-F.</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519" w:firstLine="360"/>
        <w:spacing w:after="0" w:line="262" w:lineRule="auto"/>
        <w:rPr>
          <w:sz w:val="20"/>
          <w:szCs w:val="20"/>
          <w:color w:val="auto"/>
        </w:rPr>
      </w:pPr>
      <w:r>
        <w:rPr>
          <w:rFonts w:ascii="Times New Roman" w:cs="Times New Roman" w:eastAsia="Times New Roman" w:hAnsi="Times New Roman"/>
          <w:sz w:val="18"/>
          <w:szCs w:val="18"/>
          <w:color w:val="auto"/>
        </w:rPr>
        <w:t>We are a leading provider of customer engagement and marketing technology services in mainland China. Through our developer services, we gain access to, aggregate, cleanse, structure and encrypt vast amounts of real-time and anonymous device-level mobile behavioral data. We utilize artificial intelligence, or AI, and machine learning to derive actionable insights and knowledge from this data, enabling our customers to make better business decisions. We are proud to have received the “SOC 2 Type II certification”, the “Golden Lingguang Cup” from the Internet Society of China, the “Artificial Intelligence Elite Enterprise Innovation Award”, the “HarmonyOS SDK Security Evaluation Certificate” from CAICT, the “2025 Data Security Xingyi Excellent Case”, the “Top 20 China AI Large Model Industry Innovation Service Providers” at WIM2025”, the “AI Tianma Zhenpin” award granted by the Shenzhen Artificial Intelligence Industry Association (GPTBots), the “High-Quality Digital Transformation Technology Solutions Collection (2025)” awarded by CAICT, “High-Quality Digital Transformation Products and Services Panorama (2025)” awarded by CAICT, the “Golden Sailing Award” from GICC 2024,” “Equal Ocean 2024 GoGlobal Software Services Top 10,” “The Most Investment-worthy Artificial Intelligence Award” by the Shenzhen Artificial Intelligence Industry Association (GPTBots), the “Top 50 Service Institutions for Chinese Enterprises’ Overseas Expansion” awarded by China Overseas Development Association, the “2024 Technological Innovation Leadership Award” awarded by the 13th CFC Financial Summit and 2024 Amazing Innovation and Entrepreneurs Festival, and the “Outstanding Enterprise Award for Digital Services” awarded by the 8th FMCG Retail Consumer Goods Digital Summit.</w:t>
      </w:r>
    </w:p>
    <w:p>
      <w:pPr>
        <w:spacing w:after="0" w:line="118" w:lineRule="exact"/>
        <w:rPr>
          <w:sz w:val="20"/>
          <w:szCs w:val="20"/>
          <w:color w:val="auto"/>
        </w:rPr>
      </w:pPr>
    </w:p>
    <w:p>
      <w:pPr>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We provide a comprehensive suite of services to mobile app developers in mainland China. Our developer services easily integrate with all types of mobile apps and provide core in-app functionalities needed by developers, including push notification, instant messaging, analytics, sharing and short message service, or SMS, one-click verification, and other services under JG Alliance. Our services had been used by approximately 786,900 mobile app developers in a great variety of industries, such as media, entertainment, gaming, financial services, tourism, ecommerce, and education, as of December 31, 2025. We are the partner of choice for many major internet companies, as well as many leading brands in various industries. The number of mobile apps utilizing at least one of our developer services, or the cumulative app installations, increased from over 1,919,000 as of December 31, 2023 to over 1,960,000 as of December 31, 2024, and further to over 1,990,000 as of December 31, 2025.</w:t>
      </w:r>
    </w:p>
    <w:p>
      <w:pPr>
        <w:spacing w:after="0" w:line="126" w:lineRule="exact"/>
        <w:rPr>
          <w:sz w:val="20"/>
          <w:szCs w:val="20"/>
          <w:color w:val="auto"/>
        </w:rPr>
      </w:pPr>
    </w:p>
    <w:p>
      <w:pPr>
        <w:ind w:left="1280" w:right="499" w:firstLine="360"/>
        <w:spacing w:after="0" w:line="263" w:lineRule="auto"/>
        <w:rPr>
          <w:sz w:val="20"/>
          <w:szCs w:val="20"/>
          <w:color w:val="auto"/>
        </w:rPr>
      </w:pPr>
      <w:r>
        <w:rPr>
          <w:rFonts w:ascii="Times New Roman" w:cs="Times New Roman" w:eastAsia="Times New Roman" w:hAnsi="Times New Roman"/>
          <w:sz w:val="18"/>
          <w:szCs w:val="18"/>
          <w:color w:val="auto"/>
        </w:rPr>
        <w:t>Since our inception through December 31, 2025, we have accumulated data from over 83.8 billion installations of our software development kits, or SDKs, as part of our developer services. We only gain access to selected anonymous device-level data that is necessary for, and relevant to, the services provided. Once the original mobile behavioral data is collected, our data processing platform then stores, cleanses, structures and encrypts data for AI-powered modeling exercises in an aggregated and anonymized fashion. Our developer services can be integrated into multiple apps on the same device, which allows us to receive device-based data from different and multiple dimensions, both online and offline. We believe that our data is differentiated in its volume, variety, velocity and veracity.</w:t>
      </w:r>
    </w:p>
    <w:p>
      <w:pPr>
        <w:spacing w:after="0" w:line="129" w:lineRule="exact"/>
        <w:rPr>
          <w:sz w:val="20"/>
          <w:szCs w:val="20"/>
          <w:color w:val="auto"/>
        </w:rPr>
      </w:pPr>
    </w:p>
    <w:p>
      <w:pPr>
        <w:ind w:left="1280" w:right="479" w:firstLine="360"/>
        <w:spacing w:after="0" w:line="274" w:lineRule="auto"/>
        <w:rPr>
          <w:sz w:val="20"/>
          <w:szCs w:val="20"/>
          <w:color w:val="auto"/>
        </w:rPr>
      </w:pPr>
      <w:r>
        <w:rPr>
          <w:rFonts w:ascii="Times New Roman" w:cs="Times New Roman" w:eastAsia="Times New Roman" w:hAnsi="Times New Roman"/>
          <w:sz w:val="18"/>
          <w:szCs w:val="18"/>
          <w:color w:val="auto"/>
        </w:rPr>
        <w:t>AI and machine learning are the key technologies we utilize to gain actionable and marketing effective insights from our data and to develop and refine our vertical applications. Leveraging these technologies built upon our massive and quality data foundation, we have developed a variety of solutions that offer</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99"/>
        <w:spacing w:after="0" w:line="282" w:lineRule="auto"/>
        <w:rPr>
          <w:sz w:val="20"/>
          <w:szCs w:val="20"/>
          <w:color w:val="auto"/>
        </w:rPr>
      </w:pPr>
      <w:r>
        <w:rPr>
          <w:rFonts w:ascii="Times New Roman" w:cs="Times New Roman" w:eastAsia="Times New Roman" w:hAnsi="Times New Roman"/>
          <w:sz w:val="18"/>
          <w:szCs w:val="18"/>
          <w:color w:val="auto"/>
        </w:rPr>
        <w:t>industry-specific, actionable insights for customers in a number of different areas with a primary focus on market intelligence and financial risk management. Our solutions include:</w:t>
      </w:r>
    </w:p>
    <w:p>
      <w:pPr>
        <w:spacing w:after="0" w:line="38" w:lineRule="exact"/>
        <w:rPr>
          <w:sz w:val="20"/>
          <w:szCs w:val="20"/>
          <w:color w:val="auto"/>
        </w:rPr>
      </w:pPr>
    </w:p>
    <w:p>
      <w:pPr>
        <w:ind w:left="1820" w:right="399" w:hanging="182"/>
        <w:spacing w:after="0" w:line="267"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intelligence: </w:t>
      </w:r>
      <w:r>
        <w:rPr>
          <w:rFonts w:ascii="Times New Roman" w:cs="Times New Roman" w:eastAsia="Times New Roman" w:hAnsi="Times New Roman"/>
          <w:sz w:val="18"/>
          <w:szCs w:val="18"/>
          <w:color w:val="auto"/>
        </w:rPr>
        <w:t>We provide investment funds and corporations with real-time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intelligence solutions, such as our product iApp, which provides analysis and statistical results on the usage and trends of mobile apps in China.</w:t>
      </w:r>
    </w:p>
    <w:p>
      <w:pPr>
        <w:spacing w:after="0" w:line="51" w:lineRule="exact"/>
        <w:rPr>
          <w:rFonts w:ascii="Times New Roman" w:cs="Times New Roman" w:eastAsia="Times New Roman" w:hAnsi="Times New Roman"/>
          <w:sz w:val="18"/>
          <w:szCs w:val="18"/>
          <w:color w:val="auto"/>
        </w:rPr>
      </w:pPr>
    </w:p>
    <w:p>
      <w:pPr>
        <w:ind w:left="1820" w:right="1019" w:hanging="182"/>
        <w:spacing w:after="0" w:line="284"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We assist financial institutions, licensed lenders and credit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making informed lending and credit decisions.</w:t>
      </w:r>
    </w:p>
    <w:p>
      <w:pPr>
        <w:spacing w:after="0" w:line="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refer to the developer services and vertical applications collectively as the “SAAS Businesses.”</w:t>
      </w:r>
    </w:p>
    <w:p>
      <w:pPr>
        <w:spacing w:after="0" w:line="158" w:lineRule="exact"/>
        <w:rPr>
          <w:sz w:val="20"/>
          <w:szCs w:val="20"/>
          <w:color w:val="auto"/>
        </w:rPr>
      </w:pPr>
    </w:p>
    <w:p>
      <w:pPr>
        <w:ind w:left="1280" w:right="739" w:firstLine="360"/>
        <w:spacing w:after="0" w:line="244" w:lineRule="auto"/>
        <w:rPr>
          <w:sz w:val="20"/>
          <w:szCs w:val="20"/>
          <w:color w:val="auto"/>
        </w:rPr>
      </w:pPr>
      <w:r>
        <w:rPr>
          <w:rFonts w:ascii="Times New Roman" w:cs="Times New Roman" w:eastAsia="Times New Roman" w:hAnsi="Times New Roman"/>
          <w:sz w:val="18"/>
          <w:szCs w:val="18"/>
          <w:color w:val="auto"/>
        </w:rPr>
        <w:t>We operate and generate revenue from SAAS Businesses. We have built a robust technology infrastructure to support the usage of SAAS Businesses on a real-time basis. Our cloud servers are strategically located around the country to provide high-quality and cost-effective services across all telecom providers. This extensive and carefully designed server network allows us to provide customers with real-time access and usage of our Software-as-a-service, or SAAS, products with great stability, immense speed and high reliability.</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w:t>
      </w:r>
    </w:p>
    <w:p>
      <w:pPr>
        <w:spacing w:after="0" w:line="14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Aurora Mobile Limited is not an operating company in China but a Cayman Islands holding company with no equity ownership in its consolidated variable interest entity, or the VIE. We conduct our operations in mainland China primarily through our subsidiaries incorporated in mainland China, or mainland China subsidiaries, and the VIE with which we have maintained contractual arrangements. Our value-added telecommunications services businesses in mainland China have been conducted through the VIE in order to comply with the laws and regulations of mainland China, which restrict and impose conditions on foreign direct investment in companies involved in the provision of such businesses. Accordingly, we operate these businesses in mainland China through the VIE, and such structure is used to provide investors with exposure to foreign investment in China-based companies where laws and regulations in mainland China prohibit or restrict direct foreign investment in certain operating companies, and rely on contractual arrangements among our mainland China subsidiaries, the VIE and their shareholders to control the business operations of the VIE. Investors in our ADSs are not purchasing equity interest in our operating entities in mainland China but instead are purchasing equity interest in a holding company incorporated in the Cayman Islands.</w:t>
      </w:r>
    </w:p>
    <w:p>
      <w:pPr>
        <w:spacing w:after="0" w:line="122"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color w:val="auto"/>
        </w:rPr>
        <w:t>We, through our WFOE, have entered into a series of contractual arrangements with the VIE and the nominee shareholders of the VIE. These contractual arrangements enable us to: (i) direct the activities of the VIE that most significantly impact its economic performance, (ii) receive the economic benefits of and absorb losses that could potentially be significant to the VIE in consideration for the services provided by our WFOE; and (iii) hold an exclusive option to purchase all or part of the equity interests in and assets of the VIE when and to the extent permitted by the laws of mainland China. Because of these contractual arrangements, we are considered the primary beneficiary of the VIE and hence consolidate its financial results with ours under U.S. GAAP for accounting purposes. In 2023, 2024 and 2025, we derived 95.0%, 90.7% and 85.2% of our external revenues from the VIE, respectively.</w:t>
      </w:r>
    </w:p>
    <w:p>
      <w:pPr>
        <w:spacing w:after="0" w:line="118"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These contractual agreements include exclusive option agreements, exclusive business cooperation agreement, financial support agreement, shareholder voting proxy agreement and equity interest pledge agreements. Pursuant to the exclusive option agreements, each shareholder of the VIE has irrevocably granted our WFOE an exclusive option to purchase all or part of his equity interests in the VIE, and the VIE has irrevocably granted our WFOE an exclusive option to purchase all or part of its assets. Pursuant to the exclusive business cooperation agreement, our WFOE has the exclusive right to provide the VIE comprehensive business support, technical services, consulting services and other services. Pursuant to the financial support agreement, we undertake to provide unlimited financial support to the VIE to the extent permissible under the applicable laws and regulations of mainland China, whether or not any operational loss is actually incurred by the VIE. Each of the shareholders of the VIE has also executed a shareholder voting proxy agreement to irrevocably authorize our company to act as his attorney-in-fact to exercise all of his rights as a shareholder of the VIE. Pursuant to the equity interest pledge agreements, the shareholders of the VIE have pledged 100% equity interests in the VIE to our WFOE to guarantee performance by the shareholders of their obligations under the exclusive option agreements, the shareholder voting proxy agreement and the financial support agreement, as well as the performance by the VIE of its obligations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81" w:lineRule="auto"/>
        <w:rPr>
          <w:sz w:val="20"/>
          <w:szCs w:val="20"/>
          <w:color w:val="auto"/>
        </w:rPr>
      </w:pPr>
      <w:r>
        <w:rPr>
          <w:rFonts w:ascii="Times New Roman" w:cs="Times New Roman" w:eastAsia="Times New Roman" w:hAnsi="Times New Roman"/>
          <w:sz w:val="18"/>
          <w:szCs w:val="18"/>
          <w:color w:val="auto"/>
        </w:rPr>
        <w:t>under the exclusive business cooperation agreement and the exclusive option agreements. For a summary of the material provisions of the contractual arrangements, see “Item 4. Information on the Company — C. Organizational Structure” of the 2025 Form 20-F.</w:t>
      </w:r>
    </w:p>
    <w:p>
      <w:pPr>
        <w:spacing w:after="0" w:line="96" w:lineRule="exact"/>
        <w:rPr>
          <w:sz w:val="20"/>
          <w:szCs w:val="20"/>
          <w:color w:val="auto"/>
        </w:r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directing the business operations of the VIE and we may incur substantial costs to enforce the terms of the arrangements.</w:t>
      </w:r>
    </w:p>
    <w:p>
      <w:pPr>
        <w:spacing w:after="0" w:line="94" w:lineRule="exact"/>
        <w:rPr>
          <w:sz w:val="20"/>
          <w:szCs w:val="20"/>
          <w:color w:val="auto"/>
        </w:rPr>
      </w:pPr>
    </w:p>
    <w:p>
      <w:pPr>
        <w:ind w:left="1280" w:right="539" w:firstLine="360"/>
        <w:spacing w:after="0" w:line="266" w:lineRule="auto"/>
        <w:rPr>
          <w:sz w:val="20"/>
          <w:szCs w:val="20"/>
          <w:color w:val="auto"/>
        </w:rPr>
      </w:pPr>
      <w:r>
        <w:rPr>
          <w:rFonts w:ascii="Times New Roman" w:cs="Times New Roman" w:eastAsia="Times New Roman" w:hAnsi="Times New Roman"/>
          <w:sz w:val="18"/>
          <w:szCs w:val="18"/>
          <w:color w:val="auto"/>
        </w:rPr>
        <w:t>In addition, these agreements have not been tested in mainland China courts. See “Item 3. Key Information — D. Risk Factors — Risks Related to Our Corporate Structure — We rely on contractual arrangements with the VIE and its shareholders for substantially all of our business operations, which may not be as effective as direct ownership” and “Item 3. Key Information — D. Risk Factors — Risks Related to Our Corporate Structure — The shareholders of the VIE may have potential conflicts of interest with us, which may materially and adversely affect our business and financial condition” of the 2025 Form 20-F.</w:t>
      </w:r>
    </w:p>
    <w:p>
      <w:pPr>
        <w:spacing w:after="0" w:line="109" w:lineRule="exact"/>
        <w:rPr>
          <w:sz w:val="20"/>
          <w:szCs w:val="20"/>
          <w:color w:val="auto"/>
        </w:rPr>
      </w:pPr>
    </w:p>
    <w:p>
      <w:pPr>
        <w:ind w:left="1280" w:right="419" w:firstLine="360"/>
        <w:spacing w:after="0" w:line="26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 If the PRC government deems that our contractual arrangements with the VIE do not comply with regulatory restrictions of mainland China on foreign investment in certain industries, or if these regulations or the interpretation of existing regulations change or are interpreted differently in the future, we could be subject to severe penalties or be forced to relinquish our interests in those operations. Our holding company, our mainland China subsidiaries and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 — D. Risk Factors — Risks Related to Our Corporate Structure” of the 2025 Form 20-F.</w:t>
      </w:r>
    </w:p>
    <w:p>
      <w:pPr>
        <w:spacing w:after="0" w:line="114" w:lineRule="exact"/>
        <w:rPr>
          <w:sz w:val="20"/>
          <w:szCs w:val="20"/>
          <w:color w:val="auto"/>
        </w:rPr>
      </w:pPr>
    </w:p>
    <w:p>
      <w:pPr>
        <w:ind w:left="1280" w:right="439" w:firstLine="360"/>
        <w:spacing w:after="0" w:line="264" w:lineRule="auto"/>
        <w:rPr>
          <w:sz w:val="20"/>
          <w:szCs w:val="20"/>
          <w:color w:val="auto"/>
        </w:rPr>
      </w:pPr>
      <w:r>
        <w:rPr>
          <w:rFonts w:ascii="Times New Roman" w:cs="Times New Roman" w:eastAsia="Times New Roman" w:hAnsi="Times New Roman"/>
          <w:sz w:val="18"/>
          <w:szCs w:val="18"/>
          <w:color w:val="auto"/>
        </w:rPr>
        <w:t>In addition, the VIE is owned principally by Mr. Weidong Luo, who holds 80% of the equity interest in the VIE. Mr. Luo also has 76.2% of the total voting power of Aurora. Accordingly, the enforceability of the various contracts described above by our company against the VIE is dependent upon Mr. Luo. If he fails to perform his obligations under the contractual arrangements, we could be unable to enforce the contractual arrangements that enable us to direct the business operations of the VIE. If this happens, we would need to deconsolidate the VIE. The majority of our assets, including the necessary licenses to conduct business in mainland China are held by the VIE. A significant part of our revenues is generated by the VIE. An event that results in the deconsolidation of the VIE would have a material effect on our operations and result in the value of the securities diminish substantially or even become worthless. For a detailed description of the risks associated with our corporate structure, see “Item 3. Key Information — D. Risk Factors — Risks Related to Our Corporate Structure” of the 2025 Form 20-F.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97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significant subsidiaries and consolidated variable interest entity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w:t>
      </w:r>
    </w:p>
    <w:p>
      <w:pPr>
        <w:spacing w:after="0" w:line="82" w:lineRule="exact"/>
        <w:rPr>
          <w:sz w:val="20"/>
          <w:szCs w:val="20"/>
          <w:color w:val="auto"/>
        </w:rPr>
      </w:pPr>
    </w:p>
    <w:p>
      <w:pPr>
        <w:ind w:left="1640" w:right="439" w:hanging="362"/>
        <w:spacing w:after="0" w:line="30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Weidong Luo, our founder, chairman of our board of directors, chief executive officer and a principal beneficial owner of the shares of our company, holds 80% equity interests in the VIE. Mr. Guangyan Chen, our general manager, holds 20% equity interests in the VIE.</w:t>
      </w:r>
    </w:p>
    <w:p>
      <w:pPr>
        <w:spacing w:after="0" w:line="3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6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conduct our business in mainland China through our subsidiaries and the VIE in mainland China. The operations of our subsidiaries and the VIE in mainland China are governed by laws and regulations of mainland China. The VIE is required to obtain and maintain applicable licenses and approvals from different regulatory authorities in order to provide their current services. Under the current regulatory scheme of mainland China, a number of regulatory agencies, including, but not limited to, the Ministry of Industry and Information Technology, and Cyberspace Administration of China, jointly regulate all major aspects of the internet industry, including the mobile internet business. The VIE also provides mobile app data analysis product to both domestic and foreign financial industry clients, and may be considered as engaging in foreign-related investigation business. Under the current regulatory scheme of mainland China, the VIE may be required to obtain a foreign-related investigation license. Operators must obtain government approvals and licenses for telecommunications business. The VIE obtained a foreign-related investigation license in April 2022. See “Item 4. Information on the Company — B. Business Overview — Regulations — Regulations on Telecommunications Services and Foreign Ownership Restrictions” and “Item 4. Information on the Company — B. Business Overview — Regulations — Regulations on Foreign-related Investigation” of the 2025 Form 20-F.</w:t>
      </w:r>
    </w:p>
    <w:p>
      <w:pPr>
        <w:spacing w:after="0" w:line="332" w:lineRule="exact"/>
        <w:rPr>
          <w:sz w:val="20"/>
          <w:szCs w:val="20"/>
          <w:color w:val="auto"/>
        </w:rPr>
      </w:pPr>
    </w:p>
    <w:p>
      <w:pPr>
        <w:jc w:val="center"/>
        <w:ind w:left="1640" w:right="220"/>
        <w:spacing w:after="0" w:line="266" w:lineRule="auto"/>
        <w:rPr>
          <w:sz w:val="20"/>
          <w:szCs w:val="20"/>
          <w:color w:val="auto"/>
        </w:rPr>
      </w:pPr>
      <w:r>
        <w:rPr>
          <w:rFonts w:ascii="Times New Roman" w:cs="Times New Roman" w:eastAsia="Times New Roman" w:hAnsi="Times New Roman"/>
          <w:sz w:val="18"/>
          <w:szCs w:val="18"/>
          <w:color w:val="auto"/>
        </w:rPr>
        <w:t>The VIE may also be required to obtain the personal credit reporting business license. The PRC government has adopted several regulations governing personal credit reporting businesses. According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rPr>
          <w:sz w:val="20"/>
          <w:szCs w:val="20"/>
          <w:color w:val="auto"/>
        </w:rPr>
      </w:pPr>
      <w:r>
        <w:rPr>
          <w:rFonts w:ascii="Times New Roman" w:cs="Times New Roman" w:eastAsia="Times New Roman" w:hAnsi="Times New Roman"/>
          <w:sz w:val="18"/>
          <w:szCs w:val="18"/>
          <w:color w:val="auto"/>
        </w:rPr>
        <w:t>the Administrative Regulations on the Credit Reporting Industry, which was promulgated by the State Council and became effective in 2013, “personal credit reporting business” means the activities of collecting, organizing, storing and processing “information related to the credit standing” of individuals as well as providing the information to others, and a “credit reporting agency” refers to a duly established agency whose primary business is credit reporting. Under the Administrative Regulations on the Credit Reporting Industry and the Administrative Measures for Credit Reporting Agencies, the latter of which was promulgated by the People’s Bank of China and became effective in 2013, no entity may engage in personal credit reporting business without approval by the credit reporting industry regulatory department under the State Council. On September 27, 2021, the People’s Bank of China promulgated the Administrative Measures for Credit Information Services, which took effect on January 1, 2022. Pursuant to these measures, Credit Information Services, shall mean the collection, sorting, retention, and processing of credit information of enterprises and individuals, and the provision of the foregoing information to information users. Credit information, shall mean the basic individual information, lending information and other information used for identification and determination of creditworthiness status of enterprises and individuals, and collected pursuant to the law for the purpose of providing services for financial activities, as well as the analyzed and evaluated information formed based on the foregoing information. Persons engaging in personal credit information services shall obtain the personal credit information organization license issued by the People’s Bank of China pursuant to these measures. The VIE provides financial risk management solutions to financial institutions as well as emerging technology companies based on device-level mobile behavior data. Due to the lack of further interpretations of the current regulations governing personal credit reporting businesses, the exact definition and scope of “information related to credit standing” and “personal credit reporting business” under the current regulations are unclear. It is therefore uncertain whether the VIE would be deemed to engage in personal credit reporting business because of the VIE’s financial risk management solutions. The VIE’s subsidiary, Wuhan SendCloud, may also be required to obtain a value-added telecommunication business license for store-and-forward services. Wuhan SendCloud provides email sending services as part of its current operations and its email sending platform allows customers to configure and create sending domains and perform email sending functions, which may be deemed as providing store-and-forward services. Accordingly, Wuhan SendCloud may be required to obtain a class B23 value-added telecommunication business license for store-and-forward services. Wuhan SendCloud is in the process of applying for such licenses and has not yet obtained it as of the date of this prospectus. As of the date of this prospectus, we and the VIE have not been subject to any fines or other penalties under any laws or regulations of mainland China related to personal credit reporting business. The VIE’s subsidiary, Wuhan SendCloud, may also be required to obtain a value- added telecommunication business license for store-and-forward services. Wuhan SendCloud provides email sending services as part of its current operations and its email sending platform allows customers to configure and create sending domains and perform email sending functions, which may be deemed as providing store-and-forward services. Accordingly, Wuhan SendCloud may be required to obtain a class B23 value-added telecommunication business license for store-and-forward services. Wuhan SendCloud is in the process of preparing the application for such licenses and has not yet obtained it. See “Item 4. Information on the Company — B. Business Overview — Regulations — Regulations on Credit Reporting” of the 2025</w:t>
      </w:r>
    </w:p>
    <w:p>
      <w:pPr>
        <w:spacing w:after="0" w:line="200" w:lineRule="exact"/>
        <w:rPr>
          <w:sz w:val="20"/>
          <w:szCs w:val="20"/>
          <w:color w:val="auto"/>
        </w:rPr>
      </w:pPr>
    </w:p>
    <w:p>
      <w:pPr>
        <w:spacing w:after="0" w:line="242" w:lineRule="exact"/>
        <w:rPr>
          <w:sz w:val="20"/>
          <w:szCs w:val="20"/>
          <w:color w:val="auto"/>
        </w:rPr>
      </w:pPr>
    </w:p>
    <w:p>
      <w:pPr>
        <w:ind w:left="1280" w:right="539"/>
        <w:spacing w:after="0"/>
        <w:rPr>
          <w:sz w:val="20"/>
          <w:szCs w:val="20"/>
          <w:color w:val="auto"/>
        </w:rPr>
      </w:pPr>
      <w:r>
        <w:rPr>
          <w:rFonts w:ascii="Times New Roman" w:cs="Times New Roman" w:eastAsia="Times New Roman" w:hAnsi="Times New Roman"/>
          <w:sz w:val="18"/>
          <w:szCs w:val="18"/>
          <w:color w:val="auto"/>
        </w:rPr>
        <w:t>Form 20-F. Given the uncertainties of interpretation and implementation of laws and regulations and the enforcement practice by government authorities, we and the VIE may be required to obtain additional licenses, permits, filings or approvals for the functions and services of our platform in the future. For more detailed information, see “Item 3. Key Information — D. Risk Factors — Risks Related to Doing Business in China — 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 of the 2025 Form 20-F.</w:t>
      </w:r>
    </w:p>
    <w:p>
      <w:pPr>
        <w:spacing w:after="0" w:line="121" w:lineRule="exact"/>
        <w:rPr>
          <w:sz w:val="20"/>
          <w:szCs w:val="20"/>
          <w:color w:val="auto"/>
        </w:rPr>
      </w:pPr>
    </w:p>
    <w:p>
      <w:pPr>
        <w:ind w:left="1280" w:right="55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and except as otherwise disclosed in this prospectus, our mainland China subsidiaries and the VIE have obtained the requisite licenses and permits from the PRC government authorities that are material for the business operations of our holding company and the VIE in mainland China, including, among others, three value-added telecommunication business licenses covering different scope of operations and a foreign-related investigation license.</w:t>
      </w:r>
    </w:p>
    <w:p>
      <w:pPr>
        <w:spacing w:after="0" w:line="114"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In addition, the PRC government has indicated an intent to exert more oversight and control over offerings that are conducted overseas and/or foreign investment in China-based issuers. On December 28,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1" w:lineRule="auto"/>
        <w:rPr>
          <w:sz w:val="20"/>
          <w:szCs w:val="20"/>
          <w:color w:val="auto"/>
        </w:rPr>
      </w:pPr>
      <w:r>
        <w:rPr>
          <w:rFonts w:ascii="Times New Roman" w:cs="Times New Roman" w:eastAsia="Times New Roman" w:hAnsi="Times New Roman"/>
          <w:sz w:val="18"/>
          <w:szCs w:val="18"/>
          <w:color w:val="auto"/>
        </w:rPr>
        <w:t>2021, the Cyberspace Administration of China, together with other authorities, jointly promulgated the Measures for Cybersecurity Reviews, which became effective on February 15, 2022. Pursuant to these measures, critical information infrastructure operators that procure internet products and services must be subject to the cybersecurity review if their activities affect or may affect national security. These measures further stipulate that network platform operators that hold personal information of over one million users shall apply with the Cybersecurity Review Office for a cybersecurity review before any public offering at a foreign stock exchange. These measures remain unclear on whether the requirements will be applicable to further equity or debt offerings by companies that have completed the initial public offering in the United States. In addition to the potential review before foreign listings, the Cyberspace Administration of China has the discretion to initiate cybersecurity review on data processing activities which are deemed to affect or may affect national security. Thus, we cannot preclude the possibility that we would be subject to such ex officio security reviews, and it is uncertain whether the fact of us being listed in the United States would increase such a possibility. On September 24, 2024, the State Council of China published the Regulations on Network Data Security Administration, which took effect on January 1, 2025. The Regulations on Network Data Security Administration provides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 Because the Regulations on Network Data Security Administration was newly adopted, uncertainty exists as to how it will be interpreted and implemented by the competent PRC governmental authorities and to what extent they will affect our operations. See “Item 3. Key Information — D. Risk Factors — Risks Related to Our Business and Industry — 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 of the 2025 Form 20-F.</w:t>
      </w:r>
    </w:p>
    <w:p>
      <w:pPr>
        <w:spacing w:after="0" w:line="331"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Under the Measures for Cybersecurity Reviews and other cybersecurity laws and regulations of mainland China, critical information infrastructure operators that intend to purchase internet products and services that affect or may affect national security must be subject to the cybersecurity review. As advised by our PRC legal counsel, the PRC governmental authorities may have wide discretion in the interpretation and enforcement of these laws, including the interpretation of the scope of “critical information infrastructure operators.” See “Item 4. Information on the Company — B. Business Overview — Regulations — Regulations on Information Security — Regulations on Personal Information Protection” of the 2025 Form 20-F. In addition, these measures also stipulate that any internet platform operator carrying out data processing activities that affect or may affect national security should also be subject to the cybersecurity review. In anticipation of the strengthened implementation of cybersecurity laws and regulations and the continued expansion of our and the VIE’s business, we and the VIE face potential risks if we and the VIE are deemed as a critical information infrastructure operator under the cybersecurity laws and regulations of mainland China. In such case, we and the VIE must fulfill certain obligations as required under the cybersecurity laws and regulations of mainland China, including, among others, storing personal information and important data collected and produced within the mainland China territory during our operations in mainland China, which we and the VIE have fulfilled in our and the VIE’s business, and we and the VIE may be subject to review when purchasing internet products and services. We and the VIE may be subject to review when conducting data processing activities, and may face challenges in addressing its requirements and make necessary changes to our internal policies and practices in data processing. As of the date of this prospectus, we and the VIE have not been involved in any investigations on cybersecurity review made by the Cyberspace Administration of China on such basis, and we and the VIE have not received any inquiry, notice, warning, or sanctions in such respect.</w:t>
      </w:r>
    </w:p>
    <w:p>
      <w:pPr>
        <w:spacing w:after="0" w:line="333" w:lineRule="exact"/>
        <w:rPr>
          <w:sz w:val="20"/>
          <w:szCs w:val="20"/>
          <w:color w:val="auto"/>
        </w:rPr>
      </w:pPr>
    </w:p>
    <w:p>
      <w:pPr>
        <w:ind w:left="1280" w:right="479" w:firstLine="360"/>
        <w:spacing w:after="0" w:line="243" w:lineRule="auto"/>
        <w:rPr>
          <w:sz w:val="20"/>
          <w:szCs w:val="20"/>
          <w:color w:val="auto"/>
        </w:rPr>
      </w:pPr>
      <w:r>
        <w:rPr>
          <w:rFonts w:ascii="Times New Roman" w:cs="Times New Roman" w:eastAsia="Times New Roman" w:hAnsi="Times New Roman"/>
          <w:sz w:val="18"/>
          <w:szCs w:val="18"/>
          <w:color w:val="auto"/>
        </w:rPr>
        <w:t>On July 6, 2021, the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establishment of regulatory systems to deal with the risks and incidents faced by China-based overseas-listed companies. Official guidance and related implementation rules have not been issued yet and the interpretation of these opinions remains unclear at this stage. See “Item 3. Key Information — D. Risk Factors — Risks Related to Doing Business in China — The approval and/or other requirements of the CSRC or other PRC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459"/>
        <w:spacing w:after="0" w:line="258" w:lineRule="auto"/>
        <w:rPr>
          <w:sz w:val="20"/>
          <w:szCs w:val="20"/>
          <w:color w:val="auto"/>
        </w:rPr>
      </w:pPr>
      <w:r>
        <w:rPr>
          <w:rFonts w:ascii="Times New Roman" w:cs="Times New Roman" w:eastAsia="Times New Roman" w:hAnsi="Times New Roman"/>
          <w:sz w:val="18"/>
          <w:szCs w:val="18"/>
          <w:color w:val="auto"/>
        </w:rPr>
        <w:t>governmental authorities may be required in connection with an offering under rules, regulations or policies of mainland China, and, if required, we and the VIE cannot predict whether or how soon we will be able to obtain such approval” of the 2025 Form 20-F.</w:t>
      </w:r>
    </w:p>
    <w:p>
      <w:pPr>
        <w:spacing w:after="0" w:line="102"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the Overseas Securities Offering and Listing by Domestic Companies, which took effective on March 31, 2023. According to these measures, among other requirements, (1) domestic companies that seek to offer or list securities overseas, both directly and indirectly, should fulfill the filing procedures with the CSRC; if a domestic company fails to complete the filing procedure, such domestic company may be subject to administrative penalties;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Further, at the press conference held for these measures on February 17, 2023, officials from the CSRC clarified that the PRC domestic companies that have already been listed overseas on or before the effective date of these measures (i.e., March 31, 2021) shall be deemed as existing issuers. Existing issuers are not required to complete the filing procedures immediately but shall carry out filing procedures as required if they subsequently seek to conduct an offering in an overseas market or are otherwise involved in circumstances that require filing with the CSRC. On May 14, 2025, we entered into an at market issuance sales agreement with China Renaissance Securities (Hong Kong) Limited with respect to an at-the-market sales program under which we may offer and sell, from time to time at our sole discretion, up to an aggregate of US$8,000,000 of ADSs through China Renaissance Securities (Hong Kong) Limited as our sales agent (the “ATM Offering Program”). Regarding the ATM Offering Program, we completed the first share issuance under the ATM Offering Program on July 14, 2025 and we have submitted a filing application to the China Securities Regulatory Commission, or the CSRC on July 16, 2025. In addition, we have submitted a filing application to the CSRC relating to the issuance of the Warrant on February 12, 2026. The officials from the CSRC have also confirmed that for the PRC domestic companies that seek to list overseas with a VIE structure, the CSRC will solicit opinions from regulatory authorities and complete the filing of the overseas listing of companies with VIE structure which meet the compliance requirements.</w:t>
      </w:r>
    </w:p>
    <w:p>
      <w:pPr>
        <w:spacing w:after="0" w:line="326"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promulgated the Provisions on Strengthening Confidentiality and Archives Administration of Overseas Securities Offering and Listing by Domestic Companies, which took effect on March 31, 2023. Pursuant to these provisions, domestic companies that seek for overseas offering and listing shall strictly abide by applicable laws and regulations of the PRC and these provisions, enhance legal awareness of keeping state secrets and strengthening archives administration, institute a sound confidentiality and archives administration system, and take necessary measures to fulfill confidentiality and archives administration obligations. Such domestic companies shall not leak any state secret and working secret of government agencies, or harm national security and public interest. Furthermore, a domestic company that plans to, either directly or through its overseas listed entity, publicly disclose or provide to individuals or entities including securities companies, securities service providers and overseas regulators, any document and materials that contain state secrets or working secrets of government agencies, shall first obtain approval from competent authorities according to law, and file with the secrecy administrative department at the same level. Moreover, a domestic company that plans to, either directly or through its overseas listed entity, publicly disclose or provide to individuals and entities including securities companies, securities service providers and overseas regulators, any other documents and materials that, if leaked, will be detrimental to national security or public interest, shall strictly fulfill procedures stipulated by applicable national regulations. These provisions also stipulate that a domestic company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Except the filing procedures with the CSRC as disclosed in this prospectus, we and the VIE (i) are not required to obtain permissions from the CSRC, and (ii) have not been asked to obtain or denied such and other permissions by any PRC government authority, in connection with this offering under prevailing PRC laws, regulations and rules as of the date of this prospectus. As of the date of this prospectus, we and the VIE have not received any inquiry, notice, warning, or sanctions regarding offshore offering from the CSRC or any other PRC governmental authorities.</w:t>
      </w:r>
    </w:p>
    <w:p>
      <w:pPr>
        <w:spacing w:after="0" w:line="11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and the VIE are subject to the risks of uncertainty of any future actions of the PRC government in this regard including the risk that we inadvertently conclude that the permission or approvals discussed here are not required, that applicable laws, regulations or interpretations change such that we and the VIE are required to obtain approvals in the future. If we or the VIE do not receive or maintain the requisite permissions or approvals, or if we inadvertently conclude that such permissions or approvals are not required, or applicable laws, regulations, or interpretations change such that we and the VIE are required to obtain permission or approval in the future, we and the VIE may be subject to an investigation by competent regulators, fines or penalties, or an order prohibiting us from conducting an offering, and these risks could result in a material adverse change in our and the VIE’s operations and the value of our ADSs, significantly limit or completely hinder our ability to offer or continue to offer securities to investors, or cause such securities to significantly decline in value or become worthless.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48"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Securities and Exchange Commission, or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 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April 2022, the SEC conclusively listed us as a Commission-Identified Issuer under the HFCAA following</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filing of our annual report on Form 20-F for the fiscal year ended December 31, 2021. On December 15,</w:t>
      </w:r>
    </w:p>
    <w:p>
      <w:pPr>
        <w:ind w:left="1280"/>
        <w:spacing w:after="0" w:line="234" w:lineRule="auto"/>
        <w:rPr>
          <w:sz w:val="20"/>
          <w:szCs w:val="20"/>
          <w:color w:val="auto"/>
        </w:rPr>
      </w:pPr>
      <w:r>
        <w:rPr>
          <w:rFonts w:ascii="Times New Roman" w:cs="Times New Roman" w:eastAsia="Times New Roman" w:hAnsi="Times New Roman"/>
          <w:sz w:val="18"/>
          <w:szCs w:val="18"/>
          <w:color w:val="auto"/>
        </w:rPr>
        <w:t>2022, the PCAOB issued a report that vacated its December 16, 2021 determination and removed mainland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China and Hong Kong from the list of jurisdictions where it is unable to inspect or investigate completely</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registered public accounting firms. For this reason, we were not identified as a Commission-Identified</w:t>
      </w:r>
    </w:p>
    <w:p>
      <w:pPr>
        <w:ind w:left="1280"/>
        <w:spacing w:after="0" w:line="234" w:lineRule="auto"/>
        <w:rPr>
          <w:sz w:val="20"/>
          <w:szCs w:val="20"/>
          <w:color w:val="auto"/>
        </w:rPr>
      </w:pPr>
      <w:r>
        <w:rPr>
          <w:rFonts w:ascii="Times New Roman" w:cs="Times New Roman" w:eastAsia="Times New Roman" w:hAnsi="Times New Roman"/>
          <w:sz w:val="18"/>
          <w:szCs w:val="18"/>
          <w:color w:val="auto"/>
        </w:rPr>
        <w:t>Issuer under the HFCAA after we filed the 2025 Form 20-F. Each year, the PCAOB will determine whether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it can inspect and investigate completely audit firms in mainland China and Hong Kong, among other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jurisdictions. If the PCAOB determines in the future that it no longer has full access to inspect and</w:t>
      </w:r>
    </w:p>
    <w:p>
      <w:pPr>
        <w:ind w:left="1280"/>
        <w:spacing w:after="0" w:line="234" w:lineRule="auto"/>
        <w:rPr>
          <w:sz w:val="20"/>
          <w:szCs w:val="20"/>
          <w:color w:val="auto"/>
        </w:rPr>
      </w:pPr>
      <w:r>
        <w:rPr>
          <w:rFonts w:ascii="Times New Roman" w:cs="Times New Roman" w:eastAsia="Times New Roman" w:hAnsi="Times New Roman"/>
          <w:sz w:val="18"/>
          <w:szCs w:val="18"/>
          <w:color w:val="auto"/>
        </w:rPr>
        <w:t>investigate completely accounting firms in mainland China and Hong Kong and we use an accounting firm</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headquartered in one of these jurisdictions to issue an audit report on our financial statements filed with the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SEC, we would be identified as a Commission-Identified Issuer following the filing of the annual report on</w:t>
      </w:r>
    </w:p>
    <w:p>
      <w:pPr>
        <w:ind w:left="1280"/>
        <w:spacing w:after="0" w:line="234" w:lineRule="auto"/>
        <w:rPr>
          <w:sz w:val="20"/>
          <w:szCs w:val="20"/>
          <w:color w:val="auto"/>
        </w:rPr>
      </w:pPr>
      <w:r>
        <w:rPr>
          <w:rFonts w:ascii="Times New Roman" w:cs="Times New Roman" w:eastAsia="Times New Roman" w:hAnsi="Times New Roman"/>
          <w:sz w:val="18"/>
          <w:szCs w:val="18"/>
          <w:color w:val="auto"/>
        </w:rPr>
        <w:t>Form 20-F for the relevant fiscal year. There can be no assurance that we would not be identified as a</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Commission-Identified Issuer for any future fiscal year, and if we were so identified for two</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consecutive years, we would become subject to the prohibition on trading under the HFCAA. See “Item 3.</w:t>
      </w:r>
    </w:p>
    <w:p>
      <w:pPr>
        <w:ind w:left="1280"/>
        <w:spacing w:after="0" w:line="234" w:lineRule="auto"/>
        <w:rPr>
          <w:sz w:val="20"/>
          <w:szCs w:val="20"/>
          <w:color w:val="auto"/>
        </w:rPr>
      </w:pPr>
      <w:r>
        <w:rPr>
          <w:rFonts w:ascii="Times New Roman" w:cs="Times New Roman" w:eastAsia="Times New Roman" w:hAnsi="Times New Roman"/>
          <w:sz w:val="18"/>
          <w:szCs w:val="18"/>
          <w:color w:val="auto"/>
        </w:rPr>
        <w:t>Key Information — D. Risk Factors — Risks Related to Doing Business in China — The PCAOB had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historically been unable to inspect our auditor in relation to their audit work performed for our financial</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statements and the inability of the PCAOB to conduct inspections of our auditor in the past has deprived our</w:t>
      </w:r>
    </w:p>
    <w:p>
      <w:pPr>
        <w:ind w:left="1280"/>
        <w:spacing w:after="0" w:line="234" w:lineRule="auto"/>
        <w:rPr>
          <w:sz w:val="20"/>
          <w:szCs w:val="20"/>
          <w:color w:val="auto"/>
        </w:rPr>
      </w:pPr>
      <w:r>
        <w:rPr>
          <w:rFonts w:ascii="Times New Roman" w:cs="Times New Roman" w:eastAsia="Times New Roman" w:hAnsi="Times New Roman"/>
          <w:sz w:val="18"/>
          <w:szCs w:val="18"/>
          <w:color w:val="auto"/>
        </w:rPr>
        <w:t>investors with the benefits of such inspections” and “Item 3. Key Information — D. Risk Factors — Risks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Related to Doing Business in China — Our ADSs may be prohibited from trading in the United States under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HFCAA in the future if the PCAOB is unable to inspect or investigate completely auditors located in</w:t>
      </w:r>
    </w:p>
    <w:p>
      <w:pPr>
        <w:ind w:left="1280"/>
        <w:spacing w:after="0" w:line="234" w:lineRule="auto"/>
        <w:rPr>
          <w:sz w:val="20"/>
          <w:szCs w:val="20"/>
          <w:color w:val="auto"/>
        </w:rPr>
      </w:pPr>
      <w:r>
        <w:rPr>
          <w:rFonts w:ascii="Times New Roman" w:cs="Times New Roman" w:eastAsia="Times New Roman" w:hAnsi="Times New Roman"/>
          <w:sz w:val="18"/>
          <w:szCs w:val="18"/>
          <w:color w:val="auto"/>
        </w:rPr>
        <w:t>China. The delisting of trading of the ADSs, or the threat of their being delisted, may materially and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adversely affect the value of your investment” of the 2025 Form 20-F.</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80" w:right="859" w:firstLine="360"/>
        <w:spacing w:after="0" w:line="266" w:lineRule="auto"/>
        <w:rPr>
          <w:sz w:val="20"/>
          <w:szCs w:val="20"/>
          <w:color w:val="auto"/>
        </w:rPr>
      </w:pPr>
      <w:r>
        <w:rPr>
          <w:rFonts w:ascii="Times New Roman" w:cs="Times New Roman" w:eastAsia="Times New Roman" w:hAnsi="Times New Roman"/>
          <w:sz w:val="18"/>
          <w:szCs w:val="18"/>
          <w:color w:val="auto"/>
        </w:rPr>
        <w:t>Aurora is a holding company with no material operations of its own. We conduct our operations primarily through our WFOE and the VIE. As a result, Aurora’s ability to pay dividends depends upon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42" w:lineRule="auto"/>
        <w:rPr>
          <w:sz w:val="20"/>
          <w:szCs w:val="20"/>
          <w:color w:val="auto"/>
        </w:rPr>
      </w:pPr>
      <w:r>
        <w:rPr>
          <w:rFonts w:ascii="Times New Roman" w:cs="Times New Roman" w:eastAsia="Times New Roman" w:hAnsi="Times New Roman"/>
          <w:sz w:val="18"/>
          <w:szCs w:val="18"/>
          <w:color w:val="auto"/>
        </w:rPr>
        <w:t>dividends paid by our WFOE. If our WFOE or any newly formed mainland China subsidiaries incur debt on their own behalf in the future, the instruments governing their debt may restrict their ability to pay dividends to us. In addition, our WFOE is permitted to pay dividends to us only out of its retained earnings, if any, as determined in accordance with mainland China’s accounting standards and regulations. Under the law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mainland China’s accounting standards to enterprise expansion funds and staff bonus and welfare funds at its discretion, and the VIE may allocate a portion of its after-tax profits based on mainland China’s accounting standards to a discretionary surplus fund at its discretion. The statutory reserve funds and the discretionary funds are not distributable as cash dividends. For more details, see “Item 5. Operating and Financial Review and Prospects — B. Liquidity and Capital Resources — Holding Company Structure” of the 2025 Form 20-F.</w:t>
      </w:r>
    </w:p>
    <w:p>
      <w:pPr>
        <w:spacing w:after="0" w:line="303"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Under laws and regulations of mainland China, our mainland China subsidiaries and the VIE are subject to certain restrictions with respect to paying dividends or otherwise transferring any of their net assets to us. Remittance of dividends by a wholly foreign-owned company out of mainland China is subject to examination by the banks designated by the State Administration of Foreign Exchange, or the SAFE. Our WFOE has not paid dividends and will not be able to pay dividends until it generates accumulated profits and meets the requirements for statutory reserve funds. As of the date of this prospectus, no subsidiaries paid dividends or made other distributions to the holding company, and no dividends or distributions were paid or made to our investors. The net liabilities of the VIE, in which we have no legal ownership, amounted to RMB398 million, RMB159 million and RMB150 million (US$21 million) as of December 31, 2023, 2024 and 2025, respectively. For restrictions and limitations on our ability to distribute earnings from our businesses, including subsidiaries and the VIE, to Aurora and investors as well as the ability to settle amounts owed under the VIE agreements, see “Item 3. Key Information — D. Risk Factors — Risks Related to Doing Business in China — The regulation of mainland China on loans to and direct investment in mainland China entities by offshore holding companies and governmental control of currency conversion may delay or prevent us from using the proceeds of our initial public offering to make loans or additional capital contributions to our mainland China subsidiary, which could materially and adversely affect our liquidity and our ability to fund and expand our business,” “— We may rely on dividends and other distributions on equity paid by our mainland China subsidiary to fund any cash and financing requirements we may have, and any limitation on the ability of our mainland China subsidiary to make payments to us could have a material and adverse effect on our ability to conduct our business” and “— Governmental control of currency conversion may limit our ability to utilize our cash balance effectively and affect the value of your investment” of the 2025 Form 20-F.</w:t>
      </w:r>
    </w:p>
    <w:p>
      <w:pPr>
        <w:spacing w:after="0" w:line="293"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Our subsidiaries and the VIE conduct business transactions that include provision of services and intercompany loans, and collection of employee’s individual income tax from the exercise of share options, subject to satisfaction of applicable government registration and approval requirements. The cash flows that occurred between our subsidiaries and the VIE are summarized below:</w:t>
      </w:r>
    </w:p>
    <w:p>
      <w:pPr>
        <w:spacing w:after="0" w:line="10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80" w:type="dxa"/>
            <w:vAlign w:val="bottom"/>
            <w:tcBorders>
              <w:bottom w:val="single" w:sz="8" w:color="auto"/>
            </w:tcBorders>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  ​ ​</w:t>
            </w: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  ​ ​  2025</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28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Repayment of loans and interests by the VIE to our WFOE, JPush Information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Consulting (Shenzhen) Co., Ltd.</w:t>
            </w:r>
          </w:p>
        </w:tc>
        <w:tc>
          <w:tcPr>
            <w:tcW w:w="1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65,532​​ ​</w:t>
            </w: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Employee’s individual income tax from the exercise of share options from our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WFOE, JPush Information Consulting (Shenzhen) Co., Ltd. to the VIE</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60​</w:t>
            </w: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Intercompany receivables from VIE and VIE’s subsidiaries to WFOE and other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44,871​​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53,790​</w:t>
            </w:r>
          </w:p>
        </w:tc>
        <w:tc>
          <w:tcPr>
            <w:tcW w:w="60" w:type="dxa"/>
            <w:vAlign w:val="bottom"/>
          </w:tcPr>
          <w:p>
            <w:pPr>
              <w:spacing w:after="0"/>
              <w:rPr>
                <w:sz w:val="20"/>
                <w:szCs w:val="20"/>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Intercompany receivables from WFOE and other subsidiaries to VIE and VIE’s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31,400​​ ​</w:t>
            </w:r>
            <w:r>
              <w:rPr>
                <w:rFonts w:ascii="Times New Roman" w:cs="Times New Roman" w:eastAsia="Times New Roman" w:hAnsi="Times New Roman"/>
                <w:sz w:val="18"/>
                <w:szCs w:val="18"/>
                <w:b w:val="1"/>
                <w:bCs w:val="1"/>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color w:val="auto"/>
        </w:rPr>
        <w:t>With respect to intercompany loans, the VIE repaid cash to our WFOE amounted to RMB65.5 million, nil and nil for the years ended December 31, 2023, 2024 and 2025, respectively. With respect to the collection of employee’s individual income tax from the exercise of share options, the VIE received cash from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79"/>
        <w:spacing w:after="0" w:line="255" w:lineRule="auto"/>
        <w:rPr>
          <w:sz w:val="20"/>
          <w:szCs w:val="20"/>
          <w:color w:val="auto"/>
        </w:rPr>
      </w:pPr>
      <w:r>
        <w:rPr>
          <w:rFonts w:ascii="Times New Roman" w:cs="Times New Roman" w:eastAsia="Times New Roman" w:hAnsi="Times New Roman"/>
          <w:sz w:val="18"/>
          <w:szCs w:val="18"/>
          <w:color w:val="auto"/>
        </w:rPr>
        <w:t>WFOE amounted to RMB16 thousand, RMB12 thousand and RMB60 thousand (US$10 thousand) for the years ended December 31, 2023, 2024 and 2025, respectively, which were then remitted to local tax authorities on behalf of our employees. With respect to intercompany receivables from the VIE to our subsidiaries, the VIE and VIE’s subsidiaries received cash from our WFOE and other subsidiaries amounting to RMB31.4 million for the year ended December 31, 2023, and paid cash to our WFOE and other subsidiaries amounting to RMB44.9 million and RMB53.8 million (US$7.7 million) for the years ended December 31, 2024 and 2025, respectively.</w:t>
      </w:r>
    </w:p>
    <w:p>
      <w:pPr>
        <w:spacing w:after="0" w:line="121" w:lineRule="exact"/>
        <w:rPr>
          <w:sz w:val="20"/>
          <w:szCs w:val="20"/>
          <w:color w:val="auto"/>
        </w:rPr>
      </w:pPr>
    </w:p>
    <w:p>
      <w:pPr>
        <w:ind w:left="1280" w:right="439" w:firstLine="360"/>
        <w:spacing w:after="0" w:line="252" w:lineRule="auto"/>
        <w:rPr>
          <w:sz w:val="20"/>
          <w:szCs w:val="20"/>
          <w:color w:val="auto"/>
        </w:rPr>
      </w:pPr>
      <w:r>
        <w:rPr>
          <w:rFonts w:ascii="Times New Roman" w:cs="Times New Roman" w:eastAsia="Times New Roman" w:hAnsi="Times New Roman"/>
          <w:sz w:val="18"/>
          <w:szCs w:val="18"/>
          <w:color w:val="auto"/>
        </w:rPr>
        <w:t>We have established stringent cash management policies and procedures for cash flows within our organization. Each transfer of funds among our Cayman Islands holding company, our subsidiaries and the VIE is subject to internal approval. In general, transfer of funds is required to be effected through online banking system. Cash is transferred through our organization primarily in the manner as follows: (i) Aurora may transfer funds to the WFOE, Shenzhen JPush, through its Hong Kong subsidiary, KK Mobile Investment Limited, by additional capital contributions or shareholder loans, as the case may be, (ii) the WFOE may provide loans to the VIE, subject to statutory limits and restrictions, (iii) the VIE may repay loans to the WFOE at a fixed annual rate, and (iv) the WFOE may make dividends or other distributions to Aurora through KK Mobile Investment Limited. Our management is directly supervising cash management. The VIE initiates a cash request by putting forward a cash demand plan, which explains the specific amount and timing of cash requested, and submitting it to the finance department. The cashier specialists of our financial department examine the needs of cash and submit it to the director of financial department or the CEO for final approval. To ensure liquidity, there is no limit on the amount of cash that can be transferred through our organization. However, the annual cash flow plan between the VIE and our WFOE will be determined based on our annual business objectives approved by the board of directors and approved by the CEO. In addition, we monitor our cash balance on a daily basis and conduct periodic review on our cash holdings. See “— Our Holding Company Structure and Contractual Arrangements with the VIE” and “— Financial Information Related to the VIE, Parent and Its Subsidiaries” of the 2025 Form 20-F.</w:t>
      </w:r>
    </w:p>
    <w:p>
      <w:pPr>
        <w:spacing w:after="0" w:line="124"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Aurora has not declared or paid any cash dividends, nor does it has any present plan to pay any cash dividends on our common shares in the foreseeable future. We currently intend to retain most, if not all, of our available funds and any future earnings to operate and expand our business. See “Item 8. Financial Information — A. Consolidated Statements and Other Financial Information — Dividend Policy” of the 2025 Form 20-F. For mainland China and United States federal income tax considerations of an investment in our ADSs, see “Item 10. Additional Information — E. Taxation” of the 2025 Form 20-F.</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registration statement before making an investment in our ADSs. Below please find a summary of the principal risks we face, organized under relevant headings. The risks are discussed more fully in “Risk Factors” of the 2025 Form 20-F, which is incorporated herein by reference and in this prospectus.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280" w:right="1099" w:firstLine="360"/>
        <w:spacing w:after="0" w:line="282" w:lineRule="auto"/>
        <w:rPr>
          <w:sz w:val="20"/>
          <w:szCs w:val="20"/>
          <w:color w:val="auto"/>
        </w:rPr>
      </w:pPr>
      <w:r>
        <w:rPr>
          <w:rFonts w:ascii="Times New Roman" w:cs="Times New Roman" w:eastAsia="Times New Roman" w:hAnsi="Times New Roman"/>
          <w:sz w:val="18"/>
          <w:szCs w:val="18"/>
          <w:color w:val="auto"/>
        </w:rPr>
        <w:t>We and the VIE are subject to risks and uncertainties related to our and the VIE’s business and industry, including, but not limited to, the following:</w:t>
      </w:r>
    </w:p>
    <w:p>
      <w:pPr>
        <w:spacing w:after="0" w:line="54" w:lineRule="exact"/>
        <w:rPr>
          <w:sz w:val="20"/>
          <w:szCs w:val="20"/>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performance may not be indicative of our future performance;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which we may continue to experience in the future;</w:t>
      </w:r>
    </w:p>
    <w:p>
      <w:pPr>
        <w:spacing w:after="0" w:line="11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successfully execute our strategy and continue to develop and effectively market SAAS Businesses and our other business initiatives that anticipate and respond to the needs of app developers and our customers, our business, operating results and financial condition may suffer;</w:t>
      </w:r>
    </w:p>
    <w:p>
      <w:pPr>
        <w:spacing w:after="0" w:line="67" w:lineRule="exact"/>
        <w:rPr>
          <w:rFonts w:ascii="Times New Roman" w:cs="Times New Roman" w:eastAsia="Times New Roman" w:hAnsi="Times New Roman"/>
          <w:sz w:val="18"/>
          <w:szCs w:val="18"/>
          <w:color w:val="auto"/>
        </w:rPr>
      </w:pPr>
    </w:p>
    <w:p>
      <w:pPr>
        <w:ind w:left="1820" w:right="7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continue to gain access to mobile data in the future, our business, operating results and financial condition could be materially and adversely affected;</w:t>
      </w:r>
    </w:p>
    <w:p>
      <w:pPr>
        <w:spacing w:after="0" w:line="53"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our SAAS Businesses and other business initiatives develops more slowly than we expect, our operating results could be harmed;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36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39" w:hanging="182"/>
        <w:spacing w:after="0" w:line="261"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VIE’s business generates and processes a large amount of data, and we and the VIE are required to comply with PRC and other applicable laws relating to privacy and cybersecurity. The improper use or disclosure of data could have a material and adverse effect on our and the VIE’s business and prospects;</w:t>
      </w:r>
    </w:p>
    <w:p>
      <w:pPr>
        <w:spacing w:after="0" w:line="71"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strong brand and failing to maintain and enhance our brand would hurt our ability to expand our base of app developers and customers;</w:t>
      </w:r>
    </w:p>
    <w:p>
      <w:pPr>
        <w:spacing w:after="0" w:line="53"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artificial intelligence industry is subject to evolving and extensive regulations. The adoption and use of artificial intelligence in our product offerings may subject us to potential infringement claims and increase our regulatory compliance costs;</w:t>
      </w:r>
    </w:p>
    <w:p>
      <w:pPr>
        <w:spacing w:after="0" w:line="67" w:lineRule="exact"/>
        <w:rPr>
          <w:rFonts w:ascii="Times New Roman" w:cs="Times New Roman" w:eastAsia="Times New Roman" w:hAnsi="Times New Roman"/>
          <w:sz w:val="18"/>
          <w:szCs w:val="18"/>
          <w:color w:val="auto"/>
        </w:rPr>
      </w:pPr>
    </w:p>
    <w:p>
      <w:pPr>
        <w:ind w:left="1820" w:right="103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keep up with rapid changes in technologies, our future success may be adversely affected; and</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with our current or future competitors.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62"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We and the VIE are also subject to risks and uncertainties related to our corporate structure, including, but not limited to, the following:</w:t>
      </w:r>
    </w:p>
    <w:p>
      <w:pPr>
        <w:spacing w:after="0" w:line="54" w:lineRule="exact"/>
        <w:rPr>
          <w:sz w:val="20"/>
          <w:szCs w:val="20"/>
          <w:color w:val="auto"/>
        </w:rPr>
      </w:pPr>
    </w:p>
    <w:p>
      <w:pPr>
        <w:ind w:left="1820" w:right="419" w:hanging="182"/>
        <w:spacing w:after="0" w:line="253"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is a Cayman Islands holding company with no equity ownership in the VIE, and we conduct our operations in mainland China primarily through (i) our mainland China subsidiary and (ii) the VIE with which we have maintained contractual arrangements. Investors in our ADSs thus are not purchasing equity interest in our operating entities in China but instead are purchasing equity interest in a Cayman Islands holding company. If the PRC government finds that the agreements that establish the structure for operating some of our or the VIE’s business operations in mainland China do not comply with regulations of mainland China relating to certain industries, or if these regulations or the interpretation of existing regulations change in the future, we and the VIE could be subject to severe penalties, or be forced to relinquish interest in those operations. Our holding company in the Cayman Islands, our mainland China subsidiary, the VIE, and investors of Aurora face uncertainty about potential future actions by the PRC government that could affect the enforceability of the contractual arrangements with the VIE and, consequently, significantly affect the financial performance of the VIE and our company as a whole;</w:t>
      </w:r>
    </w:p>
    <w:p>
      <w:pPr>
        <w:spacing w:after="0" w:line="297"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 and its shareholders for substantially all of our business operations, which may not be as effective as direct ownership. We rely on the performance by the VIE and its shareholders of their obligations under the contracts to direct the business operations of the VIE. However, the shareholders of the VIE may not act in the best interests of our company or may not perform their obligations under these contracts. Such risks exist throughout the period in which we intend to operate certain portions of our business through the contractual arrangements with the VIE;</w:t>
      </w:r>
    </w:p>
    <w:p>
      <w:pPr>
        <w:spacing w:after="0" w:line="295" w:lineRule="exact"/>
        <w:rPr>
          <w:rFonts w:ascii="Times New Roman" w:cs="Times New Roman" w:eastAsia="Times New Roman" w:hAnsi="Times New Roman"/>
          <w:sz w:val="18"/>
          <w:szCs w:val="18"/>
          <w:color w:val="auto"/>
        </w:rPr>
      </w:pPr>
    </w:p>
    <w:p>
      <w:pPr>
        <w:ind w:left="1820" w:right="479" w:hanging="182"/>
        <w:spacing w:after="0" w:line="255"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 or its shareholders to perform their obligations under our contractual arrangements with them would have a material and adverse effect on our business. If the VIE or its shareholders fail to perform their respective obligations under the contractual arrangements, we may have to incur substantial costs and expend additional resources to enforce such arrangements. We may also have to rely on legal remedies under the law of mainland China, including seeking specific performance or injunctive relief, and claiming damages, which we cannot assure will be effective under the law of mainland China; and</w:t>
      </w:r>
    </w:p>
    <w:p>
      <w:pPr>
        <w:spacing w:after="0" w:line="80" w:lineRule="exact"/>
        <w:rPr>
          <w:rFonts w:ascii="Times New Roman" w:cs="Times New Roman" w:eastAsia="Times New Roman" w:hAnsi="Times New Roman"/>
          <w:sz w:val="18"/>
          <w:szCs w:val="18"/>
          <w:color w:val="auto"/>
        </w:rPr>
      </w:pPr>
    </w:p>
    <w:p>
      <w:pPr>
        <w:ind w:left="1820" w:right="439" w:hanging="182"/>
        <w:spacing w:after="0" w:line="254"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VIE may have potential conflicts of interest with Aurora, which may materially and adversely affect our business and financial condition. These shareholders may breach, or cause the VIE to breach, or refuse to renew, the existing contractual arrangements we have with them and the VIE, which would have a material and adverse effect on our ability to direct the business operations of the VIE and receive economic benefits from them.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62"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We and the VIE face risks and uncertainties related to doing business in China in general, including, but not limited to, the following:</w:t>
      </w:r>
    </w:p>
    <w:p>
      <w:pPr>
        <w:spacing w:after="0" w:line="54" w:lineRule="exact"/>
        <w:rPr>
          <w:sz w:val="20"/>
          <w:szCs w:val="20"/>
          <w:color w:val="auto"/>
        </w:rPr>
      </w:pPr>
    </w:p>
    <w:p>
      <w:pPr>
        <w:ind w:left="1820" w:right="539" w:hanging="182"/>
        <w:spacing w:after="0" w:line="261"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mainland China’s economic, political or social conditions or government policies could have a material adverse effect on our and the VIE’s business and operations. The enforcement of laws and rules and regulations in China may change quickly with little advance notice, which could result in a material adverse change in our and the VIE’s operations and the value of our ADSs;</w:t>
      </w:r>
    </w:p>
    <w:p>
      <w:pPr>
        <w:spacing w:after="0" w:line="71" w:lineRule="exact"/>
        <w:rPr>
          <w:rFonts w:ascii="Times New Roman" w:cs="Times New Roman" w:eastAsia="Times New Roman" w:hAnsi="Times New Roman"/>
          <w:sz w:val="18"/>
          <w:szCs w:val="18"/>
          <w:color w:val="auto"/>
        </w:rPr>
      </w:pPr>
    </w:p>
    <w:p>
      <w:pPr>
        <w:ind w:left="1820" w:right="479" w:hanging="182"/>
        <w:spacing w:after="0" w:line="261"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may be adversely affected by the complexity, uncertainties and changes in the regulation of internet-related businesses and companies in mainland China, and any lack of requisite approvals, licenses or permits applicable to our and the VIE’s business may have a material adverse effect on our and the VIE’s business and results of operations;</w:t>
      </w:r>
    </w:p>
    <w:p>
      <w:pPr>
        <w:spacing w:after="0" w:line="71"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and/or other requirements of the CSRC or other PRC governmental authorities may be required in connection with an offering under the rules, regulations or policies of mainland China, and, if required, we and the VIE cannot predict whether or how soon we will be able to obtain such approval. Any failure to obtain or delay in obtaining the requisite governmental approval for an offering, or a rescission of such approval, would subject us and the VIE to sanctions imposed by the PRC regulatory authority;</w:t>
      </w:r>
    </w:p>
    <w:p>
      <w:pPr>
        <w:spacing w:after="0" w:line="79" w:lineRule="exact"/>
        <w:rPr>
          <w:rFonts w:ascii="Times New Roman" w:cs="Times New Roman" w:eastAsia="Times New Roman" w:hAnsi="Times New Roman"/>
          <w:sz w:val="18"/>
          <w:szCs w:val="18"/>
          <w:color w:val="auto"/>
        </w:rPr>
      </w:pPr>
    </w:p>
    <w:p>
      <w:pPr>
        <w:ind w:left="1820" w:right="419" w:hanging="182"/>
        <w:spacing w:after="0" w:line="25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over our or the VIE’s business operation could result in a material adverse change in our and the VIE’s operations and the value of our ADSs. The PRC government may intervene or influence our and the VIE’s operations at any time, or may exert more control over offerings conducted overseas and/or foreign investment in China-based issuers.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70"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5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In April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the 2025 Form 20-F.</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face risks and uncertainties related to our ADSs, including, but not limited to, the following:</w:t>
      </w:r>
    </w:p>
    <w:p>
      <w:pPr>
        <w:spacing w:after="0" w:line="117" w:lineRule="exact"/>
        <w:rPr>
          <w:sz w:val="20"/>
          <w:szCs w:val="20"/>
          <w:color w:val="auto"/>
        </w:rPr>
      </w:pPr>
    </w:p>
    <w:p>
      <w:pPr>
        <w:ind w:left="1820" w:right="85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 and</w:t>
      </w:r>
    </w:p>
    <w:p>
      <w:pPr>
        <w:spacing w:after="0" w:line="53" w:lineRule="exact"/>
        <w:rPr>
          <w:rFonts w:ascii="Times New Roman" w:cs="Times New Roman" w:eastAsia="Times New Roman" w:hAnsi="Times New Roman"/>
          <w:sz w:val="18"/>
          <w:szCs w:val="18"/>
          <w:color w:val="auto"/>
        </w:rPr>
      </w:pPr>
    </w:p>
    <w:p>
      <w:pPr>
        <w:jc w:val="both"/>
        <w:ind w:left="1820" w:right="91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439" w:firstLine="360"/>
        <w:spacing w:after="0" w:line="251" w:lineRule="auto"/>
        <w:rPr>
          <w:sz w:val="20"/>
          <w:szCs w:val="20"/>
          <w:color w:val="auto"/>
        </w:rPr>
      </w:pPr>
      <w:r>
        <w:rPr>
          <w:rFonts w:ascii="Times New Roman" w:cs="Times New Roman" w:eastAsia="Times New Roman" w:hAnsi="Times New Roman"/>
          <w:sz w:val="18"/>
          <w:szCs w:val="18"/>
          <w:color w:val="auto"/>
        </w:rPr>
        <w:t>Our principal executive offices are located at 31/F, Block 12-A, Shenzhen Bay Science and Technology Ecological Park, Nanshan District, Shenzhen, Guangdong 518057, People’s Republic of China. Our telephone number at this address is +86 755-8388-1462. Our registered office in the Cayman Islands is located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66" w:lineRule="auto"/>
        <w:rPr>
          <w:sz w:val="20"/>
          <w:szCs w:val="20"/>
          <w:color w:val="auto"/>
        </w:rPr>
      </w:pPr>
      <w:r>
        <w:rPr>
          <w:rFonts w:ascii="Times New Roman" w:cs="Times New Roman" w:eastAsia="Times New Roman" w:hAnsi="Times New Roman"/>
          <w:sz w:val="18"/>
          <w:szCs w:val="18"/>
          <w:color w:val="auto"/>
        </w:rPr>
        <w:t>at the offices of Maples Corporate Services Limited at PO Box 309, Ugland House, Grand Cayman, KY1-1104, Cayman Islands. Our agent for service of process in the United States is Puglisi &amp; Associates, located at 850 Library Avenue, Suite 204, Newark, DE 19711.</w:t>
      </w:r>
    </w:p>
    <w:p>
      <w:pPr>
        <w:spacing w:after="0" w:line="108" w:lineRule="exact"/>
        <w:rPr>
          <w:sz w:val="20"/>
          <w:szCs w:val="20"/>
          <w:color w:val="auto"/>
        </w:rPr>
      </w:pPr>
    </w:p>
    <w:p>
      <w:pPr>
        <w:ind w:left="1280" w:right="619" w:firstLine="360"/>
        <w:spacing w:after="0" w:line="261" w:lineRule="auto"/>
        <w:rPr>
          <w:sz w:val="20"/>
          <w:szCs w:val="20"/>
          <w:color w:val="auto"/>
        </w:rPr>
      </w:pPr>
      <w:r>
        <w:rPr>
          <w:rFonts w:ascii="Times New Roman" w:cs="Times New Roman" w:eastAsia="Times New Roman" w:hAnsi="Times New Roman"/>
          <w:sz w:val="18"/>
          <w:szCs w:val="18"/>
          <w:color w:val="auto"/>
        </w:rPr>
        <w:t>SEC maintains an internet site that contains reports, proxy and information statements, and other information regarding issuers that file electronically with the SEC on www.sec.gov. You can also find information on our website https://ir.jiguang.cn. The information contained on our website is not a part of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shares currently</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Common shares outstanding assuming the exercise in full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Class A common shares (or ADSs representing such shares) offered by the selling securityholder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Terms of the offering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60" w:right="100" w:hanging="179"/>
        <w:spacing w:after="0" w:line="282" w:lineRule="auto"/>
        <w:rPr>
          <w:sz w:val="20"/>
          <w:szCs w:val="20"/>
          <w:color w:val="auto"/>
        </w:rPr>
      </w:pPr>
      <w:r>
        <w:rPr>
          <w:rFonts w:ascii="Times New Roman" w:cs="Times New Roman" w:eastAsia="Times New Roman" w:hAnsi="Times New Roman"/>
          <w:sz w:val="18"/>
          <w:szCs w:val="18"/>
          <w:color w:val="auto"/>
        </w:rPr>
        <w:t>Nasdaq Global Market symbol for our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2"/>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337"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18"/>
          <w:szCs w:val="18"/>
          <w:color w:val="auto"/>
        </w:rPr>
        <w:t>79,467,902 common shares issued and outstanding, comprising</w:t>
      </w:r>
    </w:p>
    <w:p>
      <w:pPr>
        <w:spacing w:after="0" w:line="27" w:lineRule="exact"/>
        <w:rPr>
          <w:sz w:val="20"/>
          <w:szCs w:val="20"/>
          <w:color w:val="auto"/>
        </w:rPr>
      </w:pPr>
    </w:p>
    <w:p>
      <w:pPr>
        <w:ind w:left="2" w:right="439" w:hanging="2"/>
        <w:spacing w:after="0" w:line="250" w:lineRule="auto"/>
        <w:tabs>
          <w:tab w:leader="none" w:pos="2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62,467,713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w:t>
      </w:r>
    </w:p>
    <w:p>
      <w:pPr>
        <w:spacing w:after="0" w:line="1" w:lineRule="exact"/>
        <w:rPr>
          <w:rFonts w:ascii="Times New Roman" w:cs="Times New Roman" w:eastAsia="Times New Roman" w:hAnsi="Times New Roman"/>
          <w:sz w:val="18"/>
          <w:szCs w:val="18"/>
          <w:color w:val="auto"/>
        </w:rPr>
      </w:pPr>
    </w:p>
    <w:p>
      <w:pPr>
        <w:ind w:left="282" w:hanging="282"/>
        <w:spacing w:after="0"/>
        <w:tabs>
          <w:tab w:leader="none" w:pos="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17,000,189 Class B common shares.</w:t>
      </w:r>
    </w:p>
    <w:p>
      <w:pPr>
        <w:spacing w:after="0" w:line="200" w:lineRule="exact"/>
        <w:rPr>
          <w:sz w:val="20"/>
          <w:szCs w:val="20"/>
          <w:color w:val="auto"/>
        </w:rPr>
      </w:pPr>
    </w:p>
    <w:p>
      <w:pPr>
        <w:spacing w:after="0" w:line="331" w:lineRule="exact"/>
        <w:rPr>
          <w:sz w:val="20"/>
          <w:szCs w:val="20"/>
          <w:color w:val="auto"/>
        </w:rPr>
      </w:pPr>
    </w:p>
    <w:p>
      <w:pPr>
        <w:jc w:val="center"/>
        <w:ind w:right="597"/>
        <w:spacing w:after="0"/>
        <w:rPr>
          <w:sz w:val="20"/>
          <w:szCs w:val="20"/>
          <w:color w:val="auto"/>
        </w:rPr>
      </w:pPr>
      <w:r>
        <w:rPr>
          <w:rFonts w:ascii="Times New Roman" w:cs="Times New Roman" w:eastAsia="Times New Roman" w:hAnsi="Times New Roman"/>
          <w:sz w:val="18"/>
          <w:szCs w:val="18"/>
          <w:color w:val="auto"/>
        </w:rPr>
        <w:t>89,134,568 common shares issued and outstanding, comprising</w:t>
      </w:r>
    </w:p>
    <w:p>
      <w:pPr>
        <w:spacing w:after="0" w:line="27" w:lineRule="exact"/>
        <w:rPr>
          <w:sz w:val="20"/>
          <w:szCs w:val="20"/>
          <w:color w:val="auto"/>
        </w:rPr>
      </w:pPr>
    </w:p>
    <w:p>
      <w:pPr>
        <w:ind w:left="2" w:right="439" w:hanging="2"/>
        <w:spacing w:after="0" w:line="250" w:lineRule="auto"/>
        <w:tabs>
          <w:tab w:leader="none" w:pos="2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72,134,379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w:t>
      </w:r>
    </w:p>
    <w:p>
      <w:pPr>
        <w:spacing w:after="0" w:line="1" w:lineRule="exact"/>
        <w:rPr>
          <w:rFonts w:ascii="Times New Roman" w:cs="Times New Roman" w:eastAsia="Times New Roman" w:hAnsi="Times New Roman"/>
          <w:sz w:val="18"/>
          <w:szCs w:val="18"/>
          <w:color w:val="auto"/>
        </w:rPr>
      </w:pPr>
    </w:p>
    <w:p>
      <w:pPr>
        <w:ind w:left="282" w:hanging="282"/>
        <w:spacing w:after="0"/>
        <w:tabs>
          <w:tab w:leader="none" w:pos="2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17,000,189 Class B common shares.</w:t>
      </w:r>
    </w:p>
    <w:p>
      <w:pPr>
        <w:spacing w:after="0" w:line="200" w:lineRule="exact"/>
        <w:rPr>
          <w:sz w:val="20"/>
          <w:szCs w:val="20"/>
          <w:color w:val="auto"/>
        </w:rPr>
      </w:pPr>
    </w:p>
    <w:p>
      <w:pPr>
        <w:spacing w:after="0" w:line="331" w:lineRule="exact"/>
        <w:rPr>
          <w:sz w:val="20"/>
          <w:szCs w:val="20"/>
          <w:color w:val="auto"/>
        </w:rPr>
      </w:pPr>
    </w:p>
    <w:p>
      <w:pPr>
        <w:ind w:left="2" w:right="399"/>
        <w:spacing w:after="0" w:line="261" w:lineRule="auto"/>
        <w:rPr>
          <w:sz w:val="20"/>
          <w:szCs w:val="20"/>
          <w:color w:val="auto"/>
        </w:rPr>
      </w:pPr>
      <w:r>
        <w:rPr>
          <w:rFonts w:ascii="Times New Roman" w:cs="Times New Roman" w:eastAsia="Times New Roman" w:hAnsi="Times New Roman"/>
          <w:sz w:val="18"/>
          <w:szCs w:val="18"/>
          <w:color w:val="auto"/>
        </w:rPr>
        <w:t>9,666,666 of our Class A common shares, represented by 725,000 American Depositary Shares, issuable upon the exercise of the Warrant, by the selling securityholder identified in this prospectus. Three ADSs represent forty Class A common shares.</w:t>
      </w:r>
    </w:p>
    <w:p>
      <w:pPr>
        <w:spacing w:after="0" w:line="72" w:lineRule="exact"/>
        <w:rPr>
          <w:sz w:val="20"/>
          <w:szCs w:val="20"/>
          <w:color w:val="auto"/>
        </w:rPr>
      </w:pPr>
    </w:p>
    <w:p>
      <w:pPr>
        <w:ind w:left="2" w:right="599"/>
        <w:spacing w:after="0" w:line="261" w:lineRule="auto"/>
        <w:rPr>
          <w:sz w:val="20"/>
          <w:szCs w:val="20"/>
          <w:color w:val="auto"/>
        </w:rPr>
      </w:pPr>
      <w:r>
        <w:rPr>
          <w:rFonts w:ascii="Times New Roman" w:cs="Times New Roman" w:eastAsia="Times New Roman" w:hAnsi="Times New Roman"/>
          <w:sz w:val="18"/>
          <w:szCs w:val="18"/>
          <w:color w:val="auto"/>
        </w:rPr>
        <w:t>The selling securityholder will determine when and how it will sell the Class A common shares (or ADSs representing such shares) offered in this prospectus, as described in “Plan of Distribution.”</w:t>
      </w:r>
    </w:p>
    <w:p>
      <w:pPr>
        <w:spacing w:after="0" w:line="72" w:lineRule="exact"/>
        <w:rPr>
          <w:sz w:val="20"/>
          <w:szCs w:val="20"/>
          <w:color w:val="auto"/>
        </w:rPr>
      </w:pPr>
    </w:p>
    <w:p>
      <w:pPr>
        <w:ind w:left="2" w:right="4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Class A common shares (or ADSs representing such shares) in this offering. The selling securityholder will receive all of the proceeds from this offering.</w:t>
      </w:r>
    </w:p>
    <w:p>
      <w:pPr>
        <w:spacing w:after="0" w:line="72" w:lineRule="exact"/>
        <w:rPr>
          <w:sz w:val="20"/>
          <w:szCs w:val="20"/>
          <w:color w:val="auto"/>
        </w:rPr>
      </w:pPr>
    </w:p>
    <w:p>
      <w:pPr>
        <w:ind w:left="2" w:right="599"/>
        <w:spacing w:after="0" w:line="258" w:lineRule="auto"/>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and under similar headings in the other documents that incorporated by reference into this prospectus for a discussion of factors you should carefully consider before deciding to invest in our common shares or ADSs.</w:t>
      </w:r>
    </w:p>
    <w:p>
      <w:pPr>
        <w:spacing w:after="0" w:line="2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“JG”</w:t>
      </w:r>
    </w:p>
    <w:p>
      <w:pPr>
        <w:spacing w:after="0" w:line="263" w:lineRule="exact"/>
        <w:rPr>
          <w:sz w:val="20"/>
          <w:szCs w:val="20"/>
          <w:color w:val="auto"/>
        </w:rPr>
      </w:pPr>
    </w:p>
    <w:p>
      <w:pPr>
        <w:sectPr>
          <w:pgSz w:w="11900" w:h="16838" w:orient="portrait"/>
          <w:cols w:equalWidth="0" w:num="2">
            <w:col w:w="3960" w:space="558"/>
            <w:col w:w="5361"/>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significant risks. Before making an investment in our securities, you should carefully read all of the information contained in this prospectus and in the documents incorporated by reference herein. For a discussion of risk factors that you should carefully consider before deciding to purchase any of our securities, please review the additional risk factors disclosed below, the information under the heading “Risk Factors” and the section entitled “Risk Factors” contained in our 2025 Form 20-F. In addition, please read “About this Prospectus” and “Special Note Regarding Forward-Looking Statements” in this prospectus, where we describe additional uncertainties associated with our business and the forward-looking statements included or incorporated by reference in this prospectus. Please note that additional risks not currently known to us or that we currently deem immaterial also may adversely affect our business, operations results of operations, financial condition and prospects.</w:t>
      </w:r>
    </w:p>
    <w:p>
      <w:pPr>
        <w:spacing w:after="0" w:line="200" w:lineRule="exact"/>
        <w:rPr>
          <w:sz w:val="20"/>
          <w:szCs w:val="20"/>
          <w:color w:val="auto"/>
        </w:rPr>
      </w:pPr>
    </w:p>
    <w:p>
      <w:pPr>
        <w:spacing w:after="0" w:line="208"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color w:val="auto"/>
        </w:rPr>
        <w:t>The sale or availability for sale, or perceived sale or availability for sale, of substantial amounts of the ADSs could adversely affect their market price.</w:t>
      </w:r>
    </w:p>
    <w:p>
      <w:pPr>
        <w:spacing w:after="0" w:line="9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As of March 20, 2026, we had 79,467,902 common shares outstanding, comprising of (i) 62,467,713 Class A common shares (excluding treasury shares), and (ii) 17,000,189 Class B common shares. Among these shares, 41,278,304 Class A common shares are in the form of ADSs, which are freely transferable without restriction or additional registration under the Securities Act. The remaining Class A common shares issued and outstanding and the Class B common shares will be available for sale, subject to volume and other restrictions as applicable under Rules 144 and 701 under the Securities Act. Certain holders of our common shares have caused us to register under the Securities Act the sale of their shares while other holders may also demand registration in the future. We are also registering for resale an aggregate of 9,666,666 Class A common shares, represented by 725,000 ADSs, issuable upon the exercise the Warrant, under the registration statement of which this prospectus forms a part.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adversely affect the market price of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Class A common shares (or ADSs representing such shares) in this offering. The selling securityholder will receive all of the proceeds from this offering.</w:t>
      </w:r>
    </w:p>
    <w:p>
      <w:pPr>
        <w:spacing w:after="0" w:line="94"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selling securityholder will pay any underwriting discounts and commissions and placement agent fees or other similar expenses incurred by the selling securityholder for brokerage, or legal services or any other expenses incurred by the selling securityholder in disposing of the Class A common shares (or ADSs representing such shares). We will bear all other fees and expenses incurred in effecting the registration of the Class A common shares (or ADSs representing such shares) covered by this prospectus, including registration, listing, qualification and filing fees, depositary fees,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16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covers the proposed resale or other disposition of 9,666,666 of our Class A common shares, represented by 725,000 ADSs, issuable upon the exercise of the Warrant, by the selling securityholder and its pledgees, donees, transferees,assignees and successors that receive their shares after the date of this prospectus, from time to time in the manner contemplated under “Plan of Distribution” below.</w:t>
      </w:r>
    </w:p>
    <w:p>
      <w:pPr>
        <w:spacing w:after="0" w:line="3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number of common shares in the column “Maximum Number of Class A Common Shares to Be Sold in This Offering” represents all of the common shares (or ADSs representing such shares) that the selling securityholder may offer under this prospectus. We have no assurance that the selling securityholder will sell any of the Class A common shares registered for sale hereunder. The selling securityholder may sell some, all or none of its common shares (or ADSs representing such shares). We do not know how long the selling securityholder will hold the common shares (or ADSs representing such shares) before selling them, and we currently have no agreements, arrangements or understandings with the selling securityholder regarding the sale or other disposition of any of the common shares (or ADSs representing such shares). In addition, the selling securityholder may have sold or transferred, in transactions exempt from the registration requirements of the Securities Act, some or all of the shares since the date on which the information in the table below is presented.</w:t>
      </w:r>
    </w:p>
    <w:p>
      <w:pPr>
        <w:spacing w:after="0" w:line="32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following table, to our knowledge, sets forth information regarding the beneficial ownership of our common shares of the selling securityholder as of the date of this prospectus. As of March 20, we have 79,467,902 common shares issued and outstanding, comprising (i) 62,467,713 Class A common shares, excluding the 8,326,412 Class A common shares issued to our depositary bank for bulk issuance of ADSs reserved for future issuances upon the exercise or vesting of awards granted under our share incentive plan and under our existing “at-the-market offering” program, and (ii) 17,000,189 Class B common shares.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 Class 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to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Sold in This</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As A</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As A</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Prior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 Be Sold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4"/>
                <w:szCs w:val="14"/>
                <w:color w:val="auto"/>
              </w:rPr>
            </w:pPr>
          </w:p>
        </w:tc>
      </w:tr>
      <w:tr>
        <w:trPr>
          <w:trHeight w:val="162"/>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Prior to</w:t>
            </w: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 This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to the</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After the</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After the</w:t>
            </w:r>
          </w:p>
        </w:tc>
        <w:tc>
          <w:tcPr>
            <w:tcW w:w="60" w:type="dxa"/>
            <w:vAlign w:val="bottom"/>
          </w:tcPr>
          <w:p>
            <w:pPr>
              <w:spacing w:after="0"/>
              <w:rPr>
                <w:sz w:val="14"/>
                <w:szCs w:val="14"/>
                <w:color w:val="auto"/>
              </w:rPr>
            </w:pPr>
          </w:p>
        </w:tc>
      </w:tr>
      <w:tr>
        <w:trPr>
          <w:trHeight w:val="214"/>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118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the Offering</w:t>
            </w:r>
            <w:r>
              <w:rPr>
                <w:rFonts w:ascii="Times New Roman" w:cs="Times New Roman" w:eastAsia="Times New Roman" w:hAnsi="Times New Roman"/>
                <w:sz w:val="17"/>
                <w:szCs w:val="17"/>
                <w:b w:val="1"/>
                <w:bCs w:val="1"/>
                <w:color w:val="auto"/>
                <w:w w:val="94"/>
                <w:vertAlign w:val="superscript"/>
              </w:rPr>
              <w:t>(1)</w:t>
            </w:r>
          </w:p>
        </w:tc>
        <w:tc>
          <w:tcPr>
            <w:tcW w:w="12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Offering</w:t>
            </w:r>
            <w:r>
              <w:rPr>
                <w:rFonts w:ascii="Times New Roman" w:cs="Times New Roman" w:eastAsia="Times New Roman" w:hAnsi="Times New Roman"/>
                <w:sz w:val="17"/>
                <w:szCs w:val="17"/>
                <w:b w:val="1"/>
                <w:bCs w:val="1"/>
                <w:color w:val="auto"/>
                <w:w w:val="89"/>
                <w:vertAlign w:val="superscript"/>
              </w:rPr>
              <w:t>(1)(3)</w:t>
            </w:r>
          </w:p>
        </w:tc>
        <w:tc>
          <w:tcPr>
            <w:tcW w:w="10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(1)(3)</w:t>
            </w:r>
          </w:p>
        </w:tc>
        <w:tc>
          <w:tcPr>
            <w:tcW w:w="11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PM Partners I LP</w:t>
            </w:r>
            <w:r>
              <w:rPr>
                <w:rFonts w:ascii="Times New Roman" w:cs="Times New Roman" w:eastAsia="Times New Roman" w:hAnsi="Times New Roman"/>
                <w:sz w:val="23"/>
                <w:szCs w:val="23"/>
                <w:color w:val="auto"/>
                <w:vertAlign w:val="superscript"/>
              </w:rPr>
              <w:t>(4)</w:t>
            </w:r>
          </w:p>
        </w:tc>
        <w:tc>
          <w:tcPr>
            <w:tcW w:w="1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9,666,666 ​​ ​</w:t>
            </w:r>
          </w:p>
        </w:tc>
        <w:tc>
          <w:tcPr>
            <w:tcW w:w="9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w:t>
            </w:r>
          </w:p>
        </w:tc>
        <w:tc>
          <w:tcPr>
            <w:tcW w:w="1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9,666,666 ​​ ​</w:t>
            </w:r>
          </w:p>
        </w:tc>
        <w:tc>
          <w:tcPr>
            <w:tcW w:w="9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-187960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-187960</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-187960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-187960</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-187960</wp:posOffset>
            </wp:positionV>
            <wp:extent cx="128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-187960</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8" w:lineRule="exact"/>
        <w:rPr>
          <w:sz w:val="20"/>
          <w:szCs w:val="20"/>
          <w:color w:val="auto"/>
        </w:rPr>
      </w:pPr>
    </w:p>
    <w:p>
      <w:pPr>
        <w:ind w:left="1620" w:right="439" w:hanging="360"/>
        <w:spacing w:after="0" w:line="276" w:lineRule="auto"/>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the rules and regulations of the SEC and includes voting or investment power with respect to our common shares.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In computing the number of common shares beneficially owned by the selling securityholder and the percentage ownership of the selling securityholder, we deemed all Class A common shares issuable upon the exercise of the Warrant as beneficially owned by the selling securityholder because the Warrant is exercisable within 60 days of March 20.</w:t>
      </w:r>
    </w:p>
    <w:p>
      <w:pPr>
        <w:spacing w:after="0" w:line="212"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in this table refers to offering of Class A common shares by the selling securityholder pursuant to this prospectus.</w:t>
      </w:r>
    </w:p>
    <w:p>
      <w:pPr>
        <w:spacing w:after="0" w:line="82" w:lineRule="exact"/>
        <w:rPr>
          <w:rFonts w:ascii="Times New Roman" w:cs="Times New Roman" w:eastAsia="Times New Roman" w:hAnsi="Times New Roman"/>
          <w:sz w:val="14"/>
          <w:szCs w:val="14"/>
          <w:color w:val="auto"/>
        </w:rPr>
      </w:pPr>
    </w:p>
    <w:p>
      <w:pPr>
        <w:ind w:left="1620" w:right="519" w:hanging="360"/>
        <w:spacing w:after="0" w:line="281" w:lineRule="auto"/>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might not sell any or all of the common shares offered by this prospectus and as a result, we cannot estimate the number of common shares that will be held by the selling securityholder after completion of the offering. However, for purposes of this table, we have assumed that, all of the common shares covered by this prospectus will be sold by the selling securityholder after completion of the offering.</w:t>
      </w:r>
    </w:p>
    <w:p>
      <w:pPr>
        <w:spacing w:after="0" w:line="29" w:lineRule="exact"/>
        <w:rPr>
          <w:rFonts w:ascii="Times New Roman" w:cs="Times New Roman" w:eastAsia="Times New Roman" w:hAnsi="Times New Roman"/>
          <w:sz w:val="14"/>
          <w:szCs w:val="14"/>
          <w:color w:val="auto"/>
        </w:rPr>
      </w:pPr>
    </w:p>
    <w:p>
      <w:pPr>
        <w:ind w:left="1620" w:right="459" w:hanging="360"/>
        <w:spacing w:after="0" w:line="275" w:lineRule="auto"/>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9,666,666 Class A common shares underlying the Warrant. The Warrant is directly held by PM Partners I LP, a limited partnership registered under the laws of the British Virgin Islands, with registration number 2451 and its registered office at Jayla Place, 2nd Floor, Road Town, Tortola, British Virgin Islands. The general partner of PM Partners I LP is PM Partners GP I Limited. PM Partners GP I Limited is a British Virgin Island company. The board of directors of PM Partners GP I Limited has the power to direct the voting and disposition of such shares underlying the Warrant. PM Partners GP I Limited is wholly owned by PAG, an exempted company incorporated in the Cayman Islands. No single shareholder of PAG owns more than 35% of the total issued and outstanding shares of PAG.</w:t>
      </w:r>
    </w:p>
    <w:p>
      <w:pPr>
        <w:spacing w:after="0" w:line="104"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disclosed in the footnotes to the table above and as described below, the selling securityholder does not have, and within the past three years has not had, any position, office or other material relationship with us.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February 11, 2026, we issued the Warrant to PM Partners I LP. Pursuant to the terms of the Warrant, the warrantholder has the right to purchase up to 9,666,666 Class A common shares at an initial exercise price of US$1.035 per common share, subject to adjustments. On February 11, 2026, we entered into agreements with PM Partners I LP’s affiliates to provide data analytics service for service fees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selling securityholder, which shall include its pledgees, donees, transferees, assignees and successors selling Class A common shares (including as represented by ADSs) or interests in such securities received after the date of this prospectus from a selling securityholder as a gift, pledge, partnership distribution or other transfer, may, from time to time, sell, transfer or otherwise dispose of any or all of their Class A common shares (including as represented by ADSs) or interests therein on any stock exchange, market or trading facility on which the Class A common shares or ADSs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selling securityholder may use any one or more of the following methods when disposing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common shares (including as represented by ADSs) or interests therein:</w:t>
      </w:r>
    </w:p>
    <w:p>
      <w:pPr>
        <w:spacing w:after="0" w:line="8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Class A common shares or ADSs as agent, but may position and resell a portion of the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as principal to facilitate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between broker-dealers and the selling securityholder to sell a specified number of Class A common shares or ADSs at a stipulated price per share or per ADS;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laws.</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selling securityholder may, from time to time, pledge or grant a security interest in some or all of the Class A common shares or ADSs owned by it and, if it defaults in the performance of its secured obligations, the pledgees or secured parties may offer and sell the Class A common shares or ADSs, from time to time, under this prospectus, or under an amendment to this prospectus under Rule 424(b) or other applicable provision of the Securities Act amending the list of selling securityholders to include the pledgee, transferee or other successors in interest as selling securityholders under this prospectus. The selling securityholder also may transfer the Class A common shares or ADSs in other circumstances, in which case the pledgees, transferees or other successors in interest will be the selling beneficial owners for purposes of this prospectus.</w:t>
      </w:r>
    </w:p>
    <w:p>
      <w:pPr>
        <w:spacing w:after="0" w:line="32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 -kind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In connection with the sale of our Class A common shares or ADSs or interests therein, the selling</w:t>
      </w:r>
    </w:p>
    <w:p>
      <w:pPr>
        <w:spacing w:after="0" w:line="16"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securityholder may enter into hedging transactions with broker-dealers or other financial institutions, which may in turn engage in short sales of the Class A common shares or ADSs in the course of hedging the positions they assume. The selling securityholder may also sell Class A common shares or ADSs short and deliver these securities to close out their short positions, or loan or pledge the Class A common shares or</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ADSs to broker-dealers that in turn may sell these securities. The selling securityholder may also enter into options or other transactions with broker-dealers or other financial institutions or the creation of one or more derivative securities which require the delivery to each such broker-dealer or other financial institution of Class A common shares or ADSs offered by this prospectus, which Class A common shares or ADSs such broker-dealer or other financial institution may resell pursuant to this prospectus (as supplemented or amended to reflect such transaction).</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aggregate proceeds to the selling securityholder from the sale of the Class A common shares or ADSs offered by them will be the purchase price of the Class A common shares or ADSs less discounts or commissions, if any. The selling securityholder reserves the right to accept and, together with its agents from time to time, to reject, in whole or in part, any proposed purchase of Class A common shares or ADSs to be made directly or through agents. We will not receive any of the proceeds from this offering. The selling securityholder also may resell all or a portion of the Class A common shares or ADSs in open market transactions in reliance upon Rule 144 under the Securities Act of 1933, provided that they meet the criteria and conform to the requirements of that rule.</w:t>
      </w:r>
    </w:p>
    <w:p>
      <w:pPr>
        <w:spacing w:after="0" w:line="12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 and any underwriters, broker-dealers or agents that participate in the sale of the Class A common shares or ADSs or interests therein may be “underwriters” within the meaning of Section 2(11) of the Securities Act. Any discounts, commissions, concessions or profit they earn on any resale of the Class A common shares or ADSs may be underwriting discounts and commissions under the Securities Act. The selling securityholder who is an “underwriter” within the meaning of Section 2(11) of the Securities Act will be subject to the prospectus delivery requirements of the Securities Act.</w:t>
      </w:r>
    </w:p>
    <w:p>
      <w:pPr>
        <w:spacing w:after="0" w:line="10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the extent required, the Class A common shares or ADSs to be sold, the names of the selling securityholder,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In order to comply with the securities laws of some states, if applicable, the Class A common shares or ADSs may be sold in these jurisdictions only through registered or licensed brokers or dealers. In addition, in some states the Class A common shares or ADSs may not be sold unless it has been registered or qualified for sale or an exemption from registration or qualification requirements is available and is complied with.</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have advised the selling securityholder that the anti-manipulation rules of Regulation M under the Exchange Act may apply to sales of Class A common shares or ADSs in the market and to the activities of the selling securityholder and its affiliates. In addition, to the extent applicable we will make copies of this prospectus (as it may be supplemented or amended from time to time) available to the selling securityholder for the purpose of satisfying the prospectus delivery requirements of the Securities Act. The selling securityholder may indemnify any broker-dealer that participates in transactions involving the sale of the Class A common shares or ADSs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117"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the issuance of 9,666,666 Class A common shares, represented by 725,000 ADSs, for gross proceeds of approximately US$10.0 million, assuming the Warrant is fully exercised.</w:t>
      </w:r>
    </w:p>
    <w:p>
      <w:pPr>
        <w:spacing w:after="0" w:line="108" w:lineRule="exact"/>
        <w:rPr>
          <w:sz w:val="20"/>
          <w:szCs w:val="20"/>
          <w:color w:val="auto"/>
        </w:rPr>
      </w:pPr>
    </w:p>
    <w:p>
      <w:pPr>
        <w:jc w:val="both"/>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and is qualified in its entirety by reference to, our audited consolidated financial statements and the related notes, and other information and documents included in or incorporated by reference into this prospectus (as supplemented or amended).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Borders>
              <w:bottom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gridSpan w:val="2"/>
          </w:tcPr>
          <w:p>
            <w:pPr>
              <w:ind w:left="23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RMB</w:t>
            </w:r>
          </w:p>
        </w:tc>
        <w:tc>
          <w:tcPr>
            <w:tcW w:w="5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 ​</w:t>
            </w:r>
          </w:p>
        </w:tc>
        <w:tc>
          <w:tcPr>
            <w:tcW w:w="158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-164465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-164465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-164465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40"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Class A common shares (par value of US$0.0001 per share; 4,920,000,000 shares authorized, 62,971,166 shares issued and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ind w:left="1440" w:right="100" w:hanging="179"/>
        <w:spacing w:after="0" w:line="266" w:lineRule="auto"/>
        <w:rPr>
          <w:sz w:val="20"/>
          <w:szCs w:val="20"/>
          <w:color w:val="auto"/>
        </w:rPr>
      </w:pPr>
      <w:r>
        <w:rPr>
          <w:rFonts w:ascii="Times New Roman" w:cs="Times New Roman" w:eastAsia="Times New Roman" w:hAnsi="Times New Roman"/>
          <w:sz w:val="18"/>
          <w:szCs w:val="18"/>
          <w:color w:val="auto"/>
        </w:rPr>
        <w:t>Class B common shares (par value of US$0.0001 per share; 30,000,000 shares authorized, 17,000,189 shares issued and outstanding as of December 31, 2025)</w:t>
      </w:r>
    </w:p>
    <w:p>
      <w:pPr>
        <w:ind w:left="1440" w:right="320" w:hanging="179"/>
        <w:spacing w:after="0" w:line="280" w:lineRule="auto"/>
        <w:rPr>
          <w:sz w:val="20"/>
          <w:szCs w:val="20"/>
          <w:color w:val="auto"/>
        </w:rPr>
      </w:pPr>
      <w:r>
        <w:rPr>
          <w:rFonts w:ascii="Times New Roman" w:cs="Times New Roman" w:eastAsia="Times New Roman" w:hAnsi="Times New Roman"/>
          <w:sz w:val="18"/>
          <w:szCs w:val="18"/>
          <w:color w:val="auto"/>
        </w:rPr>
        <w:t>Treasury shares (1,415,422 class A common shares as of December 31, 2025)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 ​</w:t>
            </w: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68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7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(6,430​​) ​</w:t>
            </w: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 ​</w:t>
            </w: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(6,430​​)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0" w:lineRule="exact"/>
        <w:rPr>
          <w:sz w:val="20"/>
          <w:szCs w:val="20"/>
          <w:color w:val="auto"/>
        </w:rPr>
      </w:pPr>
    </w:p>
    <w:p>
      <w:pPr>
        <w:sectPr>
          <w:pgSz w:w="11900" w:h="16838" w:orient="portrait"/>
          <w:cols w:equalWidth="0" w:num="2">
            <w:col w:w="5860" w:space="100"/>
            <w:col w:w="39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​​1,049,029​​ ​​150,009​​ ​​1,118,988​​ ​​160,013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5"/>
          </w:tcPr>
          <w:p>
            <w:pPr>
              <w:jc w:val="right"/>
              <w:ind w:right="172"/>
              <w:spacing w:after="0" w:line="202" w:lineRule="exact"/>
              <w:rPr>
                <w:sz w:val="20"/>
                <w:szCs w:val="20"/>
                <w:color w:val="auto"/>
              </w:rPr>
            </w:pPr>
            <w:r>
              <w:rPr>
                <w:rFonts w:ascii="Times New Roman" w:cs="Times New Roman" w:eastAsia="Times New Roman" w:hAnsi="Times New Roman"/>
                <w:sz w:val="18"/>
                <w:szCs w:val="18"/>
                <w:color w:val="auto"/>
              </w:rPr>
              <w:t>(995,292)  (142,325)</w:t>
            </w:r>
          </w:p>
        </w:tc>
        <w:tc>
          <w:tcPr>
            <w:tcW w:w="15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(995,292)  (142,325)</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tcPr>
          <w:p>
            <w:pPr>
              <w:spacing w:after="0"/>
              <w:rPr>
                <w:sz w:val="4"/>
                <w:szCs w:val="4"/>
                <w:color w:val="auto"/>
              </w:rPr>
            </w:pPr>
          </w:p>
        </w:tc>
        <w:tc>
          <w:tcPr>
            <w:tcW w:w="2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tcPr>
          <w:p>
            <w:pPr>
              <w:spacing w:after="0"/>
              <w:rPr>
                <w:sz w:val="4"/>
                <w:szCs w:val="4"/>
                <w:color w:val="auto"/>
              </w:rPr>
            </w:pPr>
          </w:p>
        </w:tc>
        <w:tc>
          <w:tcPr>
            <w:tcW w:w="30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right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980" w:type="dxa"/>
            <w:vAlign w:val="bottom"/>
            <w:gridSpan w:val="3"/>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18,440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80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2,637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18,440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Aurora Mobile Limited’s shareholders’ equity</w:t>
            </w:r>
          </w:p>
        </w:tc>
        <w:tc>
          <w:tcPr>
            <w:tcW w:w="260" w:type="dxa"/>
            <w:vAlign w:val="bottom"/>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98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65,798</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9,409</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96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135,764</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19,414</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right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980" w:type="dxa"/>
            <w:vAlign w:val="bottom"/>
            <w:gridSpan w:val="3"/>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33,627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4,809</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33,627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98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99,425</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14,218</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96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16"/>
                <w:szCs w:val="16"/>
                <w:b w:val="1"/>
                <w:bCs w:val="1"/>
                <w:color w:val="auto"/>
              </w:rPr>
              <w:t>169,391</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24,223</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60" w:type="dxa"/>
            <w:vAlign w:val="bottom"/>
            <w:tcBorders>
              <w:right w:val="single" w:sz="8" w:color="CCEEFF"/>
            </w:tcBorders>
            <w:shd w:val="clear" w:color="auto" w:fill="CCEEFF"/>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980" w:type="dxa"/>
            <w:vAlign w:val="bottom"/>
            <w:gridSpan w:val="3"/>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15"/>
                <w:szCs w:val="15"/>
                <w:b w:val="1"/>
                <w:bCs w:val="1"/>
                <w:color w:val="auto"/>
              </w:rPr>
              <w:t>99,425</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w:t>
            </w:r>
          </w:p>
        </w:tc>
        <w:tc>
          <w:tcPr>
            <w:tcW w:w="80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14,218</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w:t>
            </w:r>
          </w:p>
        </w:tc>
        <w:tc>
          <w:tcPr>
            <w:tcW w:w="960" w:type="dxa"/>
            <w:vAlign w:val="bottom"/>
            <w:gridSpan w:val="3"/>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15"/>
                <w:szCs w:val="15"/>
                <w:b w:val="1"/>
                <w:bCs w:val="1"/>
                <w:color w:val="auto"/>
              </w:rPr>
              <w:t>169,391</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-213995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17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-574040</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-574040</wp:posOffset>
            </wp:positionV>
            <wp:extent cx="42176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9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On May 14, 2025, we entered into an at market issuance sales agreement with China Renaissance Securities (Hong Kong) Limited, as sales agent or principal pursuant to which we may offer and sell our ADSs having an aggregate offering price of up to US$8,000,000 from time to time through or to the sales agent. During the period from December 31, 2025 until the date of this prospectus, we have not issued and sold any ADSs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Aurora Mobile Limited, or Aurora, is a Cayman Islands exempted company incorporated with limited liability and its affairs are governed by the seventh memorandum and articles of association of Aurora, adopted by special resolution passed on June 27, 2018 and effective immediately prior to the completion of the initial public offering of Aurora’s ADSs representing Aurora’s Class A common shares, which we refer to as our memorandum and articles of association below, the Companies Act (As Revised) of the Cayman Islands, as amended from time to time, which we refer to as the Companies Act below, and the common law of the Cayman Islands.</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the authorized share capital of Aurora is US$500,000 divided into 5,000,000,000 shares comprising of (i) 4,920,000,000 Class A common shares of a par value of US$0.0001 each, (ii) 30,000,000 Class B common shares of a par value of US$0.0001, and (iii) 50,000,000 shares of a par value of US$0.0001 each of such class or classes (however designated) as the board of directors may determine in accordance with our memorandum and articles of association.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Memorandum and Articles of Association</w:t>
      </w:r>
    </w:p>
    <w:p>
      <w:pPr>
        <w:spacing w:after="0" w:line="148" w:lineRule="exact"/>
        <w:rPr>
          <w:sz w:val="20"/>
          <w:szCs w:val="20"/>
          <w:color w:val="auto"/>
        </w:rPr>
      </w:pPr>
    </w:p>
    <w:p>
      <w:pPr>
        <w:jc w:val="center"/>
        <w:ind w:left="1540" w:right="30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 memorandum and articles of association and of the Companies Act, insofar as they relate to the material terms of our common shares.</w:t>
      </w:r>
    </w:p>
    <w:p>
      <w:pPr>
        <w:spacing w:after="0" w:line="79"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Objects of Aurora</w:t>
      </w:r>
      <w:r>
        <w:rPr>
          <w:rFonts w:ascii="Times New Roman" w:cs="Times New Roman" w:eastAsia="Times New Roman" w:hAnsi="Times New Roman"/>
          <w:sz w:val="18"/>
          <w:szCs w:val="18"/>
          <w:color w:val="auto"/>
        </w:rPr>
        <w:t>. Under our memorandum and articles of association, the objects of Aurora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and we have the full power and authority to carry out any object not prohibited by the Cayman Islands law.</w:t>
      </w:r>
    </w:p>
    <w:p>
      <w:pPr>
        <w:spacing w:after="0" w:line="10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Our common shares are divided into Class A common shares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Holders of our Class A common shares and Class B common shares will have the same rights except for voting and conversion rights. Our common shares are issued in registered form and are issued when registered in our register of members. We may not issue shares to bearer. Our shareholders who are non-residents of the Cayman Islands may freely hold and vote their shares.</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B common share is convertible into one Class A common share at any time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thereof. Any number of Class B common shares will be automatically and immediately converted into an equal number of Class A common shares upon the occurrence of certain matters as set forth in our memorandum and articles of association, including (i) upon any direct or indirect sale, transfer, assignment or disposition of such number of Class B common shares by a holder thereof, or assignment of the voting power attached to such number of Class B common shares through voting proxy or otherwise, to any person other than an affiliate of such holder of Class B common shares,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common shares that is an entity to any person that is not an affiliate of such holder of Class B common shares; and (iii) our founder, Mr. Weidong Luo, ceasing to be the ultimate beneficial owner of any issued and outstanding Class B common shares. Class A common shares are not convertible into Class B common shares under any circumstances.</w:t>
      </w:r>
    </w:p>
    <w:p>
      <w:pPr>
        <w:spacing w:after="0" w:line="11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common shares are entitled to such dividends as may be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board of directors. In addition, our shareholders may declare dividends by ordinary resolution, but no dividend shall exceed the amount recommended by our directors. Our memorandum and articles of association provide that dividends may be declared and paid out of Aurora’s profits, realized or unrealized, or from any reserve set aside from funds legally available for distribution. Under the laws of the Cayman Islands, Aurora may pay a dividend out of either profits or share premium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circumstances may a dividend be paid if this would result in Aurora being unable to pay its debts as they fall due in the ordinary course of business.</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In respect of all matters subject to a shareholders’ vote at general meetings of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show of hands, every shareholder present in person or by proxy shall each have one vote, and on a poll, each holder of Class A common shares is entitled to one vote per share and each holder of Class B common shares is entitled to ten votes per share. Our Class A common shares and Class B common shares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vote together as a single class on all matters submitted to a vote of our shareholders, except as may otherwise be required by law. Voting at any shareholders’ meeting is by show of hands unless a poll is demanded (before or on the declaration of the result of the show of hands). A poll may be demanded by the chairman of such meeting or any shareholder holding not less than 10% of the votes attaching to the total common shares present in person or by proxy at the meeting.</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common shares cast at a meeting, while a special resolution requires the affirmative vote of no less than two-thirds of the votes cast attaching to the issued and outstanding common shares at a meeting. A special resolution will be required for important matters such as a change of name or making changes to our memorandum and articles of association. Holders of the common shares may, among other things, divide or combine their shares by ordinary resolution.</w:t>
      </w:r>
    </w:p>
    <w:p>
      <w:pPr>
        <w:spacing w:after="0" w:line="112"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0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Shareholders’ general meetings may be convened by our chairman or our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or by proxy, holding shares which carry in aggregate (or representing by proxy) not less than one-third of all votes attaching to all of our shares in issue and entitled to vote.</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all votes attaching to the issued and outstanding shares of Aurora that as of the date of the deposit carry the right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16"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Transfer of Common Shares </w:t>
      </w:r>
      <w:r>
        <w:rPr>
          <w:rFonts w:ascii="Times New Roman" w:cs="Times New Roman" w:eastAsia="Times New Roman" w:hAnsi="Times New Roman"/>
          <w:sz w:val="18"/>
          <w:szCs w:val="18"/>
          <w:color w:val="auto"/>
        </w:rPr>
        <w:t>. Subject to the restrictions set out in our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as set out below, any of our shareholders may transfer all or any of his or her common shares by an instrument of transfer in the usual or common form or any other form approved by our board of directors.</w:t>
      </w:r>
    </w:p>
    <w:p>
      <w:pPr>
        <w:spacing w:after="0" w:line="10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common share which is not fully paid up or on which we have a lien. Our board of directors may also decline to register any transfer of any common share unless:</w:t>
      </w:r>
    </w:p>
    <w:p>
      <w:pPr>
        <w:spacing w:after="0" w:line="61" w:lineRule="exact"/>
        <w:rPr>
          <w:sz w:val="20"/>
          <w:szCs w:val="20"/>
          <w:color w:val="auto"/>
        </w:rPr>
      </w:pPr>
    </w:p>
    <w:p>
      <w:pPr>
        <w:jc w:val="both"/>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common shares to which it relates and such other evidence as our board of directors may reasonably require to show the right of the transferor to make the transfer;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common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common share is to be transferred does not exceed four;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81"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If our directors refuse to register any transfer of shares, they shall, within three calendar months after the date on which the instrument of transfer was lodged with Aurora, send to each of the transferor and the transferee notice of such refusal.</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registration of transfers may, on ten calendar days’ notice being given by advertisement in such one or more newspapers, by electronic means or by any other means in accordance with the rules of the Nasdaq Global Market, be suspended and the register of members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registration of transfers shall not be suspended nor the register of members closed for more than 30 calendar days in any calendar year.</w:t>
      </w:r>
    </w:p>
    <w:p>
      <w:pPr>
        <w:spacing w:after="0" w:line="32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Aurora, if the assets available for distribution amongst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Aurora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337"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in respect of any moneys unpaid on their shares by a notice served to such shareholders at least 14 calendar days prior to the specified time of payment. The shares that have been called upon and remain unpaid are subject to forfeiture.</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before the issue of such shares, by either our board of directors or by a special resolution of our shareholders. Aurora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Aurora’s profits or out of the proceeds of a new issue of shares made for the purpose of such redemption or repurchase, or out of capital (including share premium account and capital redemption reserve) if Aurora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Aurora may accept the surrender of any fully paid share for no consideration.</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Aurora’s share capital is divided into different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rights attached to any class of shares, subject to any rights or restrictions for the time being attached to any class, may only be materially adversely varied with the consent in writing of all the holders of the issued shares of that class or with the sanction of an ordinary resolution passed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materially adversely varied by, inter alia, the creation, allotment or issue of further shares ranking pari passu with or subsequent to or the redemption or purchase of such existing class of shares.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24"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articles of association authorizes our board of directors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common shares from time to time as our board of directors shall determine, to the extent of available authorized but unissued shares.</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68"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rights and terms of redemption and liquidation preferences.</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93"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common shares have no general right under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our memorandum and articles of association, our register of mortgages and charges and special resolutions of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112"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discourage, delay or prevent a change of control of Aurora or management that shareholders may consider favorable, including provisions that:</w:t>
      </w:r>
    </w:p>
    <w:p>
      <w:pPr>
        <w:spacing w:after="0" w:line="61" w:lineRule="exact"/>
        <w:rPr>
          <w:sz w:val="20"/>
          <w:szCs w:val="20"/>
          <w:color w:val="auto"/>
        </w:rPr>
      </w:pPr>
    </w:p>
    <w:p>
      <w:pPr>
        <w:ind w:left="1800" w:right="5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Aurora.</w:t>
      </w:r>
    </w:p>
    <w:p>
      <w:pPr>
        <w:spacing w:after="0" w:line="100"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1"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34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6"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96"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accepted by holders of 90% of the shares affected within four months, the offer 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w:t>
      </w:r>
    </w:p>
    <w:p>
      <w:pPr>
        <w:spacing w:after="0" w:line="29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illegal or ultra vires and is therefore incapable of ratification by the shareholders;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 are themselves in control of the company.</w:t>
      </w:r>
    </w:p>
    <w:p>
      <w:pPr>
        <w:spacing w:after="0" w:line="7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officers and directors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33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w:t>
      </w:r>
    </w:p>
    <w:p>
      <w:pPr>
        <w:spacing w:after="0" w:line="2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fiduciary with respect to the company and therefore it is considered that he owes the following duties to the company — a duty to act bona fide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15"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 Under the Delaware General Corporation Law, a shareholder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put any proposal before the annual meeting of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2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all votes attaching to all issued and outstanding shares of our company as at the date of the deposit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1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12"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classified board may be removed only for cause with the approval of a majority of the outstanding</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shares entitled to vote, unless the certificate of incorporation provides otherwise. Under our memorandum and articles of association, directors may be removed by an ordinary resolution of our shareholders. A director’s office shall be vacated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outstanding shares of such class, unless the certificate of incorporation provides otherwise. Under our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all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24" w:lineRule="exact"/>
        <w:rPr>
          <w:sz w:val="20"/>
          <w:szCs w:val="20"/>
          <w:color w:val="auto"/>
        </w:rPr>
      </w:pPr>
    </w:p>
    <w:p>
      <w:pPr>
        <w:jc w:val="both"/>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our memorandum and articles of association may only be amended by a special resolution of our shareholders.</w:t>
      </w:r>
    </w:p>
    <w:p>
      <w:pPr>
        <w:spacing w:after="0" w:line="9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Three ADSs represent the right to receive two Class A common shares deposited with The Hongkong and Shanghai Banking Corporation Limited, as custodian for the depositary in Hong Kong. Each ADS will also represent any other securities, cash or other property which may be held by the depositary. The deposited Class A common shares together with any other securities, cash or other property held by the depositary are referred to as the deposited securities. The depositary’s office at which the ADSs will be administered is located at 101 Barclay Street, New York, NY 10286. The Bank of New York Mellon’s principal executive office is located at 225 Liberty Street, New York, NY 10286.</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32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The laws of the Cayman Islands govern shareholder rights. The depositary will be the holder of the Class A common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The deposit agreement has been filed with the SEC as an exhibit to a Form S- 8 for our company (File No. 333-228839) filed on December 17, 2018. The form of ADR is on file with the SEC (as a prospectus) and was filed on July 26, 2018.</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Class A common shares?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Class A common shares or other deposited securities, upon payment or deduction of its fees and expenses. You will receive these distributions in proportion to the number of Class A common shares your ADSs represent.</w:t>
      </w:r>
    </w:p>
    <w:p>
      <w:pPr>
        <w:spacing w:after="0" w:line="65" w:lineRule="exact"/>
        <w:rPr>
          <w:sz w:val="20"/>
          <w:szCs w:val="20"/>
          <w:color w:val="auto"/>
        </w:rPr>
      </w:pPr>
    </w:p>
    <w:p>
      <w:pPr>
        <w:ind w:left="1800" w:right="499" w:hanging="180"/>
        <w:spacing w:after="0" w:line="25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w:t>
      </w:r>
      <w:r>
        <w:rPr>
          <w:rFonts w:ascii="Times New Roman" w:cs="Times New Roman" w:eastAsia="Times New Roman" w:hAnsi="Times New Roman"/>
          <w:sz w:val="18"/>
          <w:szCs w:val="18"/>
          <w:color w:val="auto"/>
        </w:rPr>
        <w:t>The depositary will convert any cash dividend or other cash distribution we pay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19" w:lineRule="exact"/>
        <w:rPr>
          <w:rFonts w:ascii="Times New Roman" w:cs="Times New Roman" w:eastAsia="Times New Roman" w:hAnsi="Times New Roman"/>
          <w:sz w:val="18"/>
          <w:szCs w:val="18"/>
          <w:color w:val="auto"/>
        </w:rPr>
      </w:pPr>
    </w:p>
    <w:p>
      <w:pPr>
        <w:ind w:left="1800" w:right="7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The depositary will distribute only whole U.S. dollars and cents and will round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639"/>
        <w:spacing w:after="0" w:line="284" w:lineRule="auto"/>
        <w:rPr>
          <w:sz w:val="20"/>
          <w:szCs w:val="20"/>
          <w:color w:val="auto"/>
        </w:rPr>
      </w:pPr>
      <w:r>
        <w:rPr>
          <w:rFonts w:ascii="Times New Roman" w:cs="Times New Roman" w:eastAsia="Times New Roman" w:hAnsi="Times New Roman"/>
          <w:sz w:val="18"/>
          <w:szCs w:val="18"/>
          <w:color w:val="auto"/>
        </w:rPr>
        <w:t xml:space="preserve">fractional cents to the nearest whole cent. </w:t>
      </w:r>
      <w:r>
        <w:rPr>
          <w:rFonts w:ascii="Times New Roman" w:cs="Times New Roman" w:eastAsia="Times New Roman" w:hAnsi="Times New Roman"/>
          <w:sz w:val="18"/>
          <w:szCs w:val="18"/>
          <w:i w:val="1"/>
          <w:iCs w:val="1"/>
          <w:color w:val="auto"/>
        </w:rPr>
        <w:t>If the exchange rates fluctuate during a time when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depositary cannot convert the foreign currency, you may lose some of the value of the distribution</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ind w:left="1800" w:right="559" w:hanging="180"/>
        <w:spacing w:after="0" w:line="255"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Class A Common Shares. </w:t>
      </w:r>
      <w:r>
        <w:rPr>
          <w:rFonts w:ascii="Times New Roman" w:cs="Times New Roman" w:eastAsia="Times New Roman" w:hAnsi="Times New Roman"/>
          <w:sz w:val="18"/>
          <w:szCs w:val="18"/>
          <w:color w:val="auto"/>
        </w:rPr>
        <w:t>The depositary may distribute additional ADSs representing any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shares we distribute as a dividend or free distribution. The depositary will only distribute whole ADSs. It will sell Class A common shares which would require it to deliver a fraction of an ADS (or ADSs representing those shares) and distribute the net proceeds in the same way as it does with cash. If the depositary does not distribute additional ADSs, the outstanding ADSs will also represent the new Class A common shares. The depositary may sell a portion of the distributed Class A common shares (or ADSs representing those shares) sufficient to pay its fees and expenses in connection with that distribution.</w:t>
      </w:r>
    </w:p>
    <w:p>
      <w:pPr>
        <w:spacing w:after="0" w:line="76" w:lineRule="exact"/>
        <w:rPr>
          <w:rFonts w:ascii="Times New Roman" w:cs="Times New Roman" w:eastAsia="Times New Roman" w:hAnsi="Times New Roman"/>
          <w:sz w:val="18"/>
          <w:szCs w:val="18"/>
          <w:color w:val="auto"/>
        </w:rPr>
      </w:pPr>
    </w:p>
    <w:p>
      <w:pPr>
        <w:ind w:left="1800" w:right="599" w:hanging="180"/>
        <w:spacing w:after="0" w:line="263"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Rights to purchase additional Class A common shares. </w:t>
      </w:r>
      <w:r>
        <w:rPr>
          <w:rFonts w:ascii="Times New Roman" w:cs="Times New Roman" w:eastAsia="Times New Roman" w:hAnsi="Times New Roman"/>
          <w:sz w:val="18"/>
          <w:szCs w:val="18"/>
          <w:color w:val="auto"/>
        </w:rPr>
        <w:t>If we offer holders of our securities any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subscribe for additional Class A common shares or any other rights, the depositary may</w:t>
      </w:r>
    </w:p>
    <w:p>
      <w:pPr>
        <w:ind w:left="2020" w:hanging="220"/>
        <w:spacing w:after="0"/>
        <w:tabs>
          <w:tab w:leader="none" w:pos="2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those rights on behalf of ADS holders, (ii) distribute those rights to ADS holders or</w:t>
      </w:r>
    </w:p>
    <w:p>
      <w:pPr>
        <w:spacing w:after="0" w:line="9"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those rights and distribute the net proceeds to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8"/>
          <w:szCs w:val="18"/>
          <w:i w:val="1"/>
          <w:iCs w:val="1"/>
          <w:color w:val="auto"/>
        </w:rPr>
        <w:t>In that case, you will receive no value for them.</w:t>
      </w:r>
      <w:r>
        <w:rPr>
          <w:rFonts w:ascii="Times New Roman" w:cs="Times New Roman" w:eastAsia="Times New Roman" w:hAnsi="Times New Roman"/>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Class A common shares, new ADSs representing the new Class A common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80" w:lineRule="exact"/>
        <w:rPr>
          <w:rFonts w:ascii="Times New Roman" w:cs="Times New Roman" w:eastAsia="Times New Roman" w:hAnsi="Times New Roman"/>
          <w:sz w:val="18"/>
          <w:szCs w:val="18"/>
          <w:color w:val="auto"/>
        </w:rPr>
      </w:pPr>
    </w:p>
    <w:p>
      <w:pPr>
        <w:ind w:left="1800" w:right="599" w:hanging="180"/>
        <w:spacing w:after="0" w:line="254"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Distributions. </w:t>
      </w:r>
      <w:r>
        <w:rPr>
          <w:rFonts w:ascii="Times New Roman" w:cs="Times New Roman" w:eastAsia="Times New Roman" w:hAnsi="Times New Roman"/>
          <w:sz w:val="18"/>
          <w:szCs w:val="18"/>
          <w:color w:val="auto"/>
        </w:rPr>
        <w:t>The depositary will send to ADS holders anything else we distribute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324"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depositary is not responsible if it decides that it is unlawful or impractical to make a distribution available to any ADS holders. We have no obligation to register ADSs, Class A common shares, rights or other securities under the Securities Act. We also have no obligation to take any other action to permit the distribution of ADSs, Class A common shares, rights or anything else to ADS holders. </w:t>
      </w:r>
      <w:r>
        <w:rPr>
          <w:rFonts w:ascii="Times New Roman" w:cs="Times New Roman" w:eastAsia="Times New Roman" w:hAnsi="Times New Roman"/>
          <w:sz w:val="18"/>
          <w:szCs w:val="18"/>
          <w:i w:val="1"/>
          <w:iCs w:val="1"/>
          <w:color w:val="auto"/>
        </w:rPr>
        <w:t>This means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not receive the distributions we make on our Class A common shares or any value for them if it is illegal or impractical for us to make them available to you</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Class A common shares or evidence of rights to receive Class A common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depositary will deliver the Class A common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Class A common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Class A common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3"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Except by instructing the depositary as described above, you won’t be able to exercise voting rights unless you surrender your ADSs and withdraw the Class A common shares. However, you may not know about the meeting in advance enough to withdraw the Class A common shares. In any event, the depositary will not exercise any discretion in voting deposited securities and it will only vote or attempt to vote as instructed.</w:t>
      </w:r>
    </w:p>
    <w:p>
      <w:pPr>
        <w:spacing w:after="0" w:line="33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A common shares underlying your ADSs. In addition, the depositary and its agents are not responsible for failing to carry out voting instructions or for the manner of carrying out voting instructions. This means that you may not be able to exercise voting rights and there may be nothing you can do if the Class A common shares underlying your ADSs are not voted as you requested.</w:t>
      </w:r>
    </w:p>
    <w:p>
      <w:pPr>
        <w:spacing w:after="0" w:line="11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Persons depositing or withdrawing Class A</w:t>
      </w:r>
    </w:p>
    <w:p>
      <w:pPr>
        <w:jc w:val="both"/>
        <w:ind w:left="1260"/>
        <w:spacing w:after="0" w:line="182" w:lineRule="auto"/>
        <w:tabs>
          <w:tab w:leader="none" w:pos="2000" w:val="left"/>
          <w:tab w:leader="none" w:pos="5300" w:val="left"/>
          <w:tab w:leader="none" w:pos="732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common shares or ADS holders must pay:</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right="660"/>
        <w:spacing w:after="0" w:line="303" w:lineRule="auto"/>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$0.05 (or less) per ADS</w:t>
      </w:r>
    </w:p>
    <w:p>
      <w:pPr>
        <w:ind w:left="1260"/>
        <w:spacing w:after="0" w:line="187" w:lineRule="auto"/>
        <w:rPr>
          <w:sz w:val="20"/>
          <w:szCs w:val="20"/>
          <w:color w:val="auto"/>
        </w:rPr>
      </w:pPr>
      <w:r>
        <w:rPr>
          <w:rFonts w:ascii="Times New Roman" w:cs="Times New Roman" w:eastAsia="Times New Roman" w:hAnsi="Times New Roman"/>
          <w:sz w:val="13"/>
          <w:szCs w:val="13"/>
          <w:color w:val="auto"/>
        </w:rPr>
        <w:t>​</w:t>
      </w:r>
    </w:p>
    <w:p>
      <w:pPr>
        <w:spacing w:after="0" w:line="1" w:lineRule="exact"/>
        <w:rPr>
          <w:sz w:val="20"/>
          <w:szCs w:val="20"/>
          <w:color w:val="auto"/>
        </w:rPr>
      </w:pPr>
    </w:p>
    <w:p>
      <w:pPr>
        <w:ind w:left="1260" w:right="40"/>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the ADS holders had been Class A common shares and the Class A common shares had been deposited for issuance of ADSs ​</w:t>
      </w:r>
    </w:p>
    <w:p>
      <w:pPr>
        <w:spacing w:after="0" w:line="198" w:lineRule="exact"/>
        <w:rPr>
          <w:sz w:val="20"/>
          <w:szCs w:val="20"/>
          <w:color w:val="auto"/>
        </w:rPr>
      </w:pPr>
    </w:p>
    <w:p>
      <w:pPr>
        <w:ind w:left="1260" w:right="880"/>
        <w:spacing w:after="0" w:line="290" w:lineRule="auto"/>
        <w:rPr>
          <w:sz w:val="20"/>
          <w:szCs w:val="20"/>
          <w:color w:val="auto"/>
        </w:rPr>
      </w:pPr>
      <w:r>
        <w:rPr>
          <w:rFonts w:ascii="Times New Roman" w:cs="Times New Roman" w:eastAsia="Times New Roman" w:hAnsi="Times New Roman"/>
          <w:sz w:val="18"/>
          <w:szCs w:val="18"/>
          <w:color w:val="auto"/>
        </w:rPr>
        <w:t>$.05 (or less) per ADS per calendar year ​Registration or transfer fees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20"/>
        <w:spacing w:after="0" w:line="267"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 Class A common shares underlying ADSs, such as stock transfer taxes, stamp duty or withholding taxes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ind w:left="1260"/>
        <w:spacing w:after="0" w:line="258"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224" w:right="320" w:hanging="224"/>
        <w:spacing w:after="0" w:line="277" w:lineRule="auto"/>
        <w:tabs>
          <w:tab w:leader="none" w:pos="1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Issuance of ADSs, including issuances resulting from a distribution of Class A common shares or rights or other property</w:t>
      </w:r>
    </w:p>
    <w:p>
      <w:pPr>
        <w:spacing w:after="0" w:line="58" w:lineRule="exact"/>
        <w:rPr>
          <w:sz w:val="20"/>
          <w:szCs w:val="20"/>
          <w:color w:val="auto"/>
        </w:rPr>
      </w:pPr>
    </w:p>
    <w:p>
      <w:pPr>
        <w:ind w:left="224"/>
        <w:spacing w:after="0" w:line="261" w:lineRule="auto"/>
        <w:rPr>
          <w:sz w:val="20"/>
          <w:szCs w:val="20"/>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ind w:left="104" w:hanging="104"/>
        <w:spacing w:after="0"/>
        <w:tabs>
          <w:tab w:leader="none" w:pos="104"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Any cash distribution to ADS holders</w:t>
      </w:r>
    </w:p>
    <w:p>
      <w:pPr>
        <w:spacing w:after="0" w:line="56" w:lineRule="exact"/>
        <w:rPr>
          <w:rFonts w:ascii="Times New Roman" w:cs="Times New Roman" w:eastAsia="Times New Roman" w:hAnsi="Times New Roman"/>
          <w:sz w:val="36"/>
          <w:szCs w:val="36"/>
          <w:color w:val="auto"/>
          <w:vertAlign w:val="superscript"/>
        </w:rPr>
      </w:pPr>
    </w:p>
    <w:p>
      <w:pPr>
        <w:ind w:left="224" w:right="240" w:hanging="224"/>
        <w:spacing w:after="0" w:line="188" w:lineRule="auto"/>
        <w:tabs>
          <w:tab w:leader="none" w:pos="116"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Distribution of securities distributed to holders of deposited securities (including rights) that are distributed by the depositary to ADS holders</w:t>
      </w:r>
    </w:p>
    <w:p>
      <w:pPr>
        <w:spacing w:after="0" w:line="174" w:lineRule="exact"/>
        <w:rPr>
          <w:rFonts w:ascii="Times New Roman" w:cs="Times New Roman" w:eastAsia="Times New Roman" w:hAnsi="Times New Roman"/>
          <w:sz w:val="36"/>
          <w:szCs w:val="36"/>
          <w:color w:val="auto"/>
          <w:vertAlign w:val="superscript"/>
        </w:rPr>
      </w:pPr>
    </w:p>
    <w:p>
      <w:pPr>
        <w:ind w:left="104" w:hanging="104"/>
        <w:spacing w:after="0"/>
        <w:tabs>
          <w:tab w:leader="none" w:pos="1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ind w:left="224"/>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7" w:lineRule="exact"/>
        <w:rPr>
          <w:sz w:val="20"/>
          <w:szCs w:val="20"/>
          <w:color w:val="auto"/>
        </w:rPr>
      </w:pPr>
    </w:p>
    <w:p>
      <w:pPr>
        <w:ind w:left="224" w:right="80" w:hanging="224"/>
        <w:spacing w:after="0" w:line="231" w:lineRule="auto"/>
        <w:tabs>
          <w:tab w:leader="none" w:pos="116"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Transfer and registration of Class A common shares on our share register to or from the name of the depositary or its agent when you deposit or withdraw Class A common shares</w:t>
      </w:r>
    </w:p>
    <w:p>
      <w:pPr>
        <w:spacing w:after="0" w:line="106" w:lineRule="exact"/>
        <w:rPr>
          <w:rFonts w:ascii="Times New Roman" w:cs="Times New Roman" w:eastAsia="Times New Roman" w:hAnsi="Times New Roman"/>
          <w:sz w:val="36"/>
          <w:szCs w:val="36"/>
          <w:color w:val="auto"/>
          <w:vertAlign w:val="superscript"/>
        </w:rPr>
      </w:pPr>
    </w:p>
    <w:p>
      <w:pPr>
        <w:ind w:left="224" w:right="140" w:hanging="224"/>
        <w:spacing w:after="0" w:line="215" w:lineRule="auto"/>
        <w:tabs>
          <w:tab w:leader="none" w:pos="116"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Cable and facsimile transmissions (when expressly provided in the deposit agreement)</w:t>
      </w:r>
    </w:p>
    <w:p>
      <w:pPr>
        <w:spacing w:after="0" w:line="11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Converting foreign currency to U.S. dollars</w:t>
      </w:r>
    </w:p>
    <w:p>
      <w:pPr>
        <w:spacing w:after="0" w:line="63" w:lineRule="exact"/>
        <w:rPr>
          <w:sz w:val="20"/>
          <w:szCs w:val="20"/>
          <w:color w:val="auto"/>
        </w:rPr>
      </w:pPr>
    </w:p>
    <w:p>
      <w:pPr>
        <w:ind w:left="104" w:hanging="104"/>
        <w:spacing w:after="0"/>
        <w:tabs>
          <w:tab w:leader="none" w:pos="1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necessary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As necessary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95" w:lineRule="exact"/>
        <w:rPr>
          <w:sz w:val="20"/>
          <w:szCs w:val="20"/>
          <w:color w:val="auto"/>
        </w:rPr>
      </w:pPr>
    </w:p>
    <w:p>
      <w:pPr>
        <w:sectPr>
          <w:pgSz w:w="11900" w:h="16838" w:orient="portrait"/>
          <w:cols w:equalWidth="0" w:num="3">
            <w:col w:w="5180" w:space="76"/>
            <w:col w:w="4204" w:space="0"/>
            <w:col w:w="419"/>
          </w:cols>
          <w:pgMar w:left="580" w:top="97" w:right="1440" w:bottom="1440" w:gutter="0" w:footer="0" w:header="0"/>
          <w:type w:val="continuous"/>
        </w:sect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0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0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24"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31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jc w:val="both"/>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w:t>
      </w:r>
    </w:p>
    <w:p>
      <w:pPr>
        <w:spacing w:after="0" w:line="3"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 xml:space="preserve">30 days after the depositary notifies ADS holders of the amendment. </w:t>
      </w:r>
      <w:r>
        <w:rPr>
          <w:rFonts w:ascii="Times New Roman" w:cs="Times New Roman" w:eastAsia="Times New Roman" w:hAnsi="Times New Roman"/>
          <w:sz w:val="18"/>
          <w:szCs w:val="18"/>
          <w:i w:val="1"/>
          <w:iCs w:val="1"/>
          <w:color w:val="auto"/>
        </w:rPr>
        <w:t>At the time an amendment becomes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you are considered, by continuing to hold your ADSs, to agree to the amendment and to be bound by the ADRs and the deposit agreement as amended</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54" w:lineRule="exact"/>
        <w:rPr>
          <w:sz w:val="20"/>
          <w:szCs w:val="20"/>
          <w:color w:val="auto"/>
        </w:rPr>
      </w:pPr>
    </w:p>
    <w:p>
      <w:pPr>
        <w:ind w:left="1800" w:right="4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have passed since the depositary told us it wants to resign but a successor depositary has not been appointed and accepted its appointment;</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 securities exchange on which they were listed and do not list the ADSs on another securities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14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54" w:lineRule="exact"/>
        <w:rPr>
          <w:sz w:val="20"/>
          <w:szCs w:val="20"/>
          <w:color w:val="auto"/>
        </w:rPr>
      </w:pPr>
    </w:p>
    <w:p>
      <w:pPr>
        <w:ind w:left="1800" w:right="8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 and</w:t>
      </w:r>
    </w:p>
    <w:p>
      <w:pPr>
        <w:spacing w:after="0" w:line="8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2" w:lineRule="exact"/>
        <w:rPr>
          <w:sz w:val="20"/>
          <w:szCs w:val="20"/>
          <w:color w:val="auto"/>
        </w:rPr>
      </w:pPr>
    </w:p>
    <w:p>
      <w:pPr>
        <w:ind w:left="1260" w:right="1319" w:firstLine="360"/>
        <w:spacing w:after="0" w:line="282"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Class A common shares, the depositary may require:</w:t>
      </w:r>
    </w:p>
    <w:p>
      <w:pPr>
        <w:spacing w:after="0" w:line="54" w:lineRule="exact"/>
        <w:rPr>
          <w:sz w:val="20"/>
          <w:szCs w:val="20"/>
          <w:color w:val="auto"/>
        </w:rPr>
      </w:pPr>
    </w:p>
    <w:p>
      <w:pPr>
        <w:ind w:left="1800" w:right="679" w:hanging="180"/>
        <w:spacing w:after="0" w:line="27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Class A common shares or other deposited securities;</w:t>
      </w:r>
    </w:p>
    <w:p>
      <w:pPr>
        <w:spacing w:after="0" w:line="295"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Class A common shares at any time except:</w:t>
      </w:r>
    </w:p>
    <w:p>
      <w:pPr>
        <w:spacing w:after="0" w:line="54" w:lineRule="exact"/>
        <w:rPr>
          <w:sz w:val="20"/>
          <w:szCs w:val="20"/>
          <w:color w:val="auto"/>
        </w:rPr>
      </w:pPr>
    </w:p>
    <w:p>
      <w:pPr>
        <w:ind w:left="1800" w:right="4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Class A common shares is blocked to permit voting at a shareholders’ meeting; or (iii) we are paying a dividend on our Class A common shares;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44"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Class A common shares or other deposited securities.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62" w:lineRule="exact"/>
        <w:rPr>
          <w:sz w:val="20"/>
          <w:szCs w:val="20"/>
          <w:color w:val="auto"/>
        </w:rPr>
      </w:pPr>
    </w:p>
    <w:p>
      <w:pPr>
        <w:jc w:val="both"/>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w:t>
      </w:r>
    </w:p>
    <w:p>
      <w:pPr>
        <w:spacing w:after="0" w:line="3"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Arbitration Provision</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deposit agreement gives the depositary or an ADS holder asserting a claim against us the right to require us to submit that claim to binding arbitration in New York under the Rules of the American Arbitration Association, including any securities law claim. However, a claimant could also elect not to submit its claim to arbitration and instead bring its claim in any court having jurisdiction of it. The deposit agreement does not give us the right to require anyone to submit any claim to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1"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 Cayman Islands has a less developed body of securities laws as compared to the United States and these securities laws provide significantly less protection to investors as compared to the United States.</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Substantially all of our assets are located in mainland China. All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32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appointed Puglisi &amp; Associates, located at 850 Library Avenue, Suite 204, Newark, DE 19711, as our agent upon whom process may be served in any action brought against us under the securities laws of the United States.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of the Cayman Islands are unlikely (i) to recognize or enforce judgments of U.S. courts obtained against us or our directors or officers that are predicated upon the civil liability provisions of the federal securities laws of the United States or the securities laws of any state in the United States, or (ii) in original actions brought in the Cayman Islands to impose liabilities against us or our directors or officers that are predicated upon the civil liability provisions of federal securities laws of the United States or the securities laws of any state in the United States.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and (iii) is not inconsistent with a Cayman Islands judgment in respect of the same matter, (iv)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Han Kun Law Offices, our counsel as to PRC law, has advised us that there is uncertainty as to whether the courts of mainland China would:</w:t>
      </w:r>
    </w:p>
    <w:p>
      <w:pPr>
        <w:spacing w:after="0" w:line="54" w:lineRule="exact"/>
        <w:rPr>
          <w:sz w:val="20"/>
          <w:szCs w:val="20"/>
          <w:color w:val="auto"/>
        </w:rPr>
      </w:pPr>
    </w:p>
    <w:p>
      <w:pPr>
        <w:ind w:left="1800" w:right="7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mainland China and the country where the judgment is made or on principles of reciprocity between jurisdictions. Mainland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common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will incur a SEC registration fee of US$692.35, and will also incur printing costs, legal fees and expenses, accounting fees and expenses, and others in connection with the offering of securities. Expenses of any of the securities offered by this prospectus will be set forth in the applicable prospectus supplement(s) relating to the offering of those securities. We will pay all expenses in connection with the distribution of the common shares being sold by the selling securityholder, except for the underwriting discounts and selling commissions payable by, and all legal fees and expenses of legal counsel for, the selling securityholder,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The validity of the Class A common shares represented by the ADSs offered in this offering and legal matters as to Cayman Islands law will be passed upon for us by Maples and Calder (Hong Kong) LLP. Certain legal matters as to PRC law will be passed upon for us by Han Kun Law Offices. Skadden, Arps, Slate, Meagher &amp; 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Aurora Mobile Limited appearing in Aurora Mobile Limited’s Annual Report (Form 20-F) for the year ended December 31, 2025,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36"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office of Ernst &amp; Young Hua Ming LLP is located at 21st Floor, China Resources Building, No. 5001 Shennan Dong Road, Shenzhen 518001,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the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a foreign private issuer, we are exempt from the rules of the Exchange Act prescribing the furnishing and content of quarterly reports and proxy statements, and our executive officers, directors and principal shareholders are exempt from the short-swing profit recovery provisions (and also the reporting provisions in the case of our principal shareholders)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 w:cs="Times New Roman" w:eastAsia="Times New Roman" w:hAnsi="Times New Roman"/>
          <w:sz w:val="18"/>
          <w:szCs w:val="18"/>
          <w:i w:val="1"/>
          <w:iCs w:val="1"/>
          <w:color w:val="auto"/>
        </w:rPr>
        <w:t>https://ir.jiguang.cn</w:t>
      </w:r>
      <w:r>
        <w:rPr>
          <w:rFonts w:ascii="Times New Roman" w:cs="Times New Roman" w:eastAsia="Times New Roman" w:hAnsi="Times New Roman"/>
          <w:sz w:val="18"/>
          <w:szCs w:val="18"/>
          <w:color w:val="auto"/>
        </w:rPr>
        <w:t>. The information contained on our website is not a part of this prospectus.</w:t>
      </w:r>
    </w:p>
    <w:p>
      <w:pPr>
        <w:spacing w:after="0" w:line="12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17" w:lineRule="exact"/>
        <w:rPr>
          <w:sz w:val="20"/>
          <w:szCs w:val="20"/>
          <w:color w:val="auto"/>
        </w:rPr>
      </w:pPr>
    </w:p>
    <w:p>
      <w:pPr>
        <w:ind w:left="1800" w:right="599" w:hanging="180"/>
        <w:spacing w:after="0" w:line="282" w:lineRule="auto"/>
        <w:tabs>
          <w:tab w:leader="none" w:pos="1800" w:val="left"/>
        </w:tabs>
        <w:numPr>
          <w:ilvl w:val="0"/>
          <w:numId w:val="36"/>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our annual report on Form 20-F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March 27, 2026 (File No. 001-38587);</w:t>
        </w:r>
      </w:hyperlink>
    </w:p>
    <w:p>
      <w:pPr>
        <w:spacing w:after="0" w:line="53"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36"/>
        </w:numPr>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our current report on Form 6-K furnished to the SEC on February 11, 2026;</w:t>
        </w:r>
      </w:hyperlink>
    </w:p>
    <w:p>
      <w:pPr>
        <w:spacing w:after="0" w:line="117" w:lineRule="exact"/>
        <w:rPr>
          <w:rFonts w:ascii="Times New Roman" w:cs="Times New Roman" w:eastAsia="Times New Roman" w:hAnsi="Times New Roman"/>
          <w:sz w:val="18"/>
          <w:szCs w:val="18"/>
          <w:u w:val="single" w:color="auto"/>
          <w:color w:val="0000EE"/>
        </w:rPr>
      </w:pPr>
    </w:p>
    <w:p>
      <w:pPr>
        <w:ind w:left="1800" w:right="619" w:hanging="180"/>
        <w:spacing w:after="0" w:line="266" w:lineRule="auto"/>
        <w:tabs>
          <w:tab w:leader="none" w:pos="1800" w:val="left"/>
        </w:tabs>
        <w:numPr>
          <w:ilvl w:val="0"/>
          <w:numId w:val="36"/>
        </w:numPr>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auto"/>
          </w:rPr>
          <w:t xml:space="preserve">the description of our capital stock contained in our registration statement on </w:t>
        </w:r>
        <w:r>
          <w:rPr>
            <w:rFonts w:ascii="Times New Roman" w:cs="Times New Roman" w:eastAsia="Times New Roman" w:hAnsi="Times New Roman"/>
            <w:sz w:val="18"/>
            <w:szCs w:val="18"/>
            <w:u w:val="single" w:color="auto"/>
            <w:color w:val="0000EE"/>
          </w:rPr>
          <w:t>Form 8-A12B filed</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with the SEC on July 13, 2018 (File No. 001-38587)</w:t>
        </w:r>
        <w:r>
          <w:rPr>
            <w:rFonts w:ascii="Times New Roman" w:cs="Times New Roman" w:eastAsia="Times New Roman" w:hAnsi="Times New Roman"/>
            <w:sz w:val="18"/>
            <w:szCs w:val="18"/>
            <w:color w:val="000000"/>
          </w:rPr>
          <w:t xml:space="preserve">, including any amendment or reports filed </w:t>
        </w:r>
      </w:hyperlink>
      <w:r>
        <w:rPr>
          <w:rFonts w:ascii="Times New Roman" w:cs="Times New Roman" w:eastAsia="Times New Roman" w:hAnsi="Times New Roman"/>
          <w:sz w:val="18"/>
          <w:szCs w:val="18"/>
          <w:color w:val="0000EE"/>
        </w:rPr>
        <w:t xml:space="preserve">for </w:t>
      </w:r>
      <w:r>
        <w:rPr>
          <w:rFonts w:ascii="Times New Roman" w:cs="Times New Roman" w:eastAsia="Times New Roman" w:hAnsi="Times New Roman"/>
          <w:sz w:val="18"/>
          <w:szCs w:val="18"/>
          <w:color w:val="000000"/>
        </w:rPr>
        <w:t>the purpose of updating such description;</w:t>
      </w:r>
    </w:p>
    <w:p>
      <w:pPr>
        <w:spacing w:after="0" w:line="67" w:lineRule="exact"/>
        <w:rPr>
          <w:rFonts w:ascii="Times New Roman" w:cs="Times New Roman" w:eastAsia="Times New Roman" w:hAnsi="Times New Roman"/>
          <w:sz w:val="18"/>
          <w:szCs w:val="18"/>
          <w:color w:val="0000EE"/>
        </w:rPr>
      </w:pPr>
    </w:p>
    <w:p>
      <w:pPr>
        <w:ind w:left="1800" w:right="499" w:hanging="180"/>
        <w:spacing w:after="0" w:line="275"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our Class A common shares and ADSs offered by this prospectus;</w:t>
      </w:r>
    </w:p>
    <w:p>
      <w:pPr>
        <w:spacing w:after="0" w:line="28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81" w:lineRule="exact"/>
        <w:rPr>
          <w:rFonts w:ascii="Times New Roman" w:cs="Times New Roman" w:eastAsia="Times New Roman" w:hAnsi="Times New Roman"/>
          <w:sz w:val="18"/>
          <w:szCs w:val="18"/>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other than exhibits to those documents unless such exhibits are specially incorporated by reference in the prospectus, will be provided at no cost to each person, including any beneficial owner, who receives a copy of this prospectus on the written or oral request of that person made to:</w:t>
      </w:r>
    </w:p>
    <w:p>
      <w:pPr>
        <w:spacing w:after="0" w:line="112" w:lineRule="exact"/>
        <w:rPr>
          <w:rFonts w:ascii="Times New Roman" w:cs="Times New Roman" w:eastAsia="Times New Roman" w:hAnsi="Times New Roman"/>
          <w:sz w:val="18"/>
          <w:szCs w:val="18"/>
          <w:color w:val="auto"/>
        </w:rPr>
      </w:pPr>
    </w:p>
    <w:p>
      <w:pPr>
        <w:ind w:left="4460"/>
        <w:spacing w:after="0"/>
        <w:rPr>
          <w:sz w:val="20"/>
          <w:szCs w:val="20"/>
          <w:color w:val="auto"/>
        </w:rPr>
      </w:pPr>
      <w:r>
        <w:rPr>
          <w:rFonts w:ascii="Times New Roman" w:cs="Times New Roman" w:eastAsia="Times New Roman" w:hAnsi="Times New Roman"/>
          <w:sz w:val="18"/>
          <w:szCs w:val="18"/>
          <w:color w:val="auto"/>
        </w:rPr>
        <w:t>Aurora Mobile Limited</w:t>
      </w:r>
    </w:p>
    <w:p>
      <w:pPr>
        <w:spacing w:after="0" w:line="27" w:lineRule="exact"/>
        <w:rPr>
          <w:rFonts w:ascii="Times New Roman" w:cs="Times New Roman" w:eastAsia="Times New Roman" w:hAnsi="Times New Roman"/>
          <w:sz w:val="18"/>
          <w:szCs w:val="18"/>
          <w:color w:val="auto"/>
        </w:rPr>
      </w:pPr>
    </w:p>
    <w:p>
      <w:pPr>
        <w:ind w:left="1860"/>
        <w:spacing w:after="0"/>
        <w:rPr>
          <w:sz w:val="20"/>
          <w:szCs w:val="20"/>
          <w:color w:val="auto"/>
        </w:rPr>
      </w:pPr>
      <w:r>
        <w:rPr>
          <w:rFonts w:ascii="Times New Roman" w:cs="Times New Roman" w:eastAsia="Times New Roman" w:hAnsi="Times New Roman"/>
          <w:sz w:val="18"/>
          <w:szCs w:val="18"/>
          <w:color w:val="auto"/>
        </w:rPr>
        <w:t>31/F, Block 12-A, Shenzhen Bay Science and Technology Ecological Park, Nanshan District</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Shenzhen, Guangdong 518057</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2"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1150620</wp:posOffset>
            </wp:positionV>
            <wp:extent cx="2014220"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0142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Aurora Mobile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9,666,666</w:t>
      </w:r>
    </w:p>
    <w:p>
      <w:pPr>
        <w:spacing w:after="0" w:line="21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Class A Common Shares</w:t>
      </w:r>
    </w:p>
    <w:p>
      <w:pPr>
        <w:spacing w:after="0" w:line="21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4"/>
          <w:szCs w:val="24"/>
          <w:b w:val="1"/>
          <w:bCs w:val="1"/>
          <w:color w:val="auto"/>
        </w:rPr>
        <w:t>Represented by 725,000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1151255</wp:posOffset>
            </wp:positionV>
            <wp:extent cx="5212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for indemnification of officers and directors from and against all actions, proceedings, costs, charges, losses, damages and liabilities which they may incur or sustain in or by reason of the conduct of our business or affairs (including as a result of any mistake of judgment) or in the execution or discharge of their duties, powers, authorities or discretions, including without prejudice to the generality of the foregoing, any costs, expenses, losses or liabilities incurred by such person in defending (whether successfully or otherwise) any civil proceedings concerning the company or its affairs in any court whether in the Cayman Islands or elsewhere other than by reason of such person’s own dishonesty, willful default or fraud.</w:t>
      </w:r>
    </w:p>
    <w:p>
      <w:pPr>
        <w:spacing w:after="0" w:line="12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for indemnification of us and our officers and directors.</w:t>
      </w:r>
    </w:p>
    <w:p>
      <w:pPr>
        <w:spacing w:after="0" w:line="81"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Pursuant to the indemnification agreements between us and our directors and officers, the form of which was filed as Exhibit 10.3 to our registration statement on Form F-1 (File No. 333-225993) that was filed with the SEC on July 13, 2018, we agreed to indemnify our directors and officers against certain liabilities and expenses incurred by such persons in connection with claims made by reason of their being a director or officer.</w:t>
      </w:r>
    </w:p>
    <w:p>
      <w:pPr>
        <w:spacing w:after="0" w:line="200" w:lineRule="exact"/>
        <w:rPr>
          <w:sz w:val="20"/>
          <w:szCs w:val="20"/>
          <w:color w:val="auto"/>
        </w:rPr>
      </w:pPr>
    </w:p>
    <w:p>
      <w:pPr>
        <w:spacing w:after="0" w:line="212"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62"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ind w:left="2340" w:right="599" w:hanging="360"/>
        <w:spacing w:after="0" w:line="253" w:lineRule="auto"/>
        <w:tabs>
          <w:tab w:leader="none" w:pos="23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Times New Roman" w:cs="Times New Roman" w:eastAsia="Times New Roman" w:hAnsi="Times New Roman"/>
          <w:sz w:val="18"/>
          <w:szCs w:val="18"/>
          <w:color w:val="auto"/>
        </w:rPr>
      </w:pPr>
    </w:p>
    <w:p>
      <w:pPr>
        <w:ind w:left="2340" w:right="739" w:hanging="360"/>
        <w:spacing w:after="0" w:line="266" w:lineRule="auto"/>
        <w:tabs>
          <w:tab w:leader="none" w:pos="23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ind w:left="1980" w:right="959"/>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periodic reports filed with or furnished to the SEC by the registrant pursuant to section 13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99"/>
        <w:spacing w:after="0" w:line="266" w:lineRule="auto"/>
        <w:rPr>
          <w:sz w:val="20"/>
          <w:szCs w:val="20"/>
          <w:color w:val="auto"/>
        </w:rPr>
      </w:pPr>
      <w:r>
        <w:rPr>
          <w:rFonts w:ascii="Times New Roman" w:cs="Times New Roman" w:eastAsia="Times New Roman" w:hAnsi="Times New Roman"/>
          <w:sz w:val="18"/>
          <w:szCs w:val="18"/>
          <w:color w:val="auto"/>
        </w:rPr>
        <w:t>section 15(d) of the Exchange Act that are incorporated by reference in the registration statement or is contained in a form of prospectus filed pursuant to Rule 424(b) that is part of the registration statement.</w:t>
      </w:r>
    </w:p>
    <w:p>
      <w:pPr>
        <w:spacing w:after="0" w:line="108" w:lineRule="exact"/>
        <w:rPr>
          <w:sz w:val="20"/>
          <w:szCs w:val="20"/>
          <w:color w:val="auto"/>
        </w:rPr>
      </w:pPr>
    </w:p>
    <w:p>
      <w:pPr>
        <w:ind w:left="1980" w:right="599" w:hanging="360"/>
        <w:spacing w:after="0" w:line="261"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a post-effective amendment, financial statements required pursuant to this paragraph (a)</w:t>
      </w:r>
    </w:p>
    <w:p>
      <w:pPr>
        <w:spacing w:after="0" w:line="3" w:lineRule="exact"/>
        <w:rPr>
          <w:rFonts w:ascii="Times New Roman" w:cs="Times New Roman" w:eastAsia="Times New Roman" w:hAnsi="Times New Roman"/>
          <w:sz w:val="18"/>
          <w:szCs w:val="18"/>
          <w:color w:val="auto"/>
        </w:rPr>
      </w:pPr>
    </w:p>
    <w:p>
      <w:pPr>
        <w:ind w:left="198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0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8" w:lineRule="exact"/>
        <w:rPr>
          <w:sz w:val="20"/>
          <w:szCs w:val="20"/>
          <w:color w:val="auto"/>
        </w:rPr>
      </w:pPr>
    </w:p>
    <w:p>
      <w:pPr>
        <w:ind w:left="2340" w:right="539" w:hanging="360"/>
        <w:spacing w:after="0" w:line="266" w:lineRule="auto"/>
        <w:tabs>
          <w:tab w:leader="none" w:pos="2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340" w:right="459" w:hanging="360"/>
        <w:spacing w:after="0" w:line="252" w:lineRule="auto"/>
        <w:tabs>
          <w:tab w:leader="none" w:pos="2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29" w:lineRule="exact"/>
        <w:rPr>
          <w:rFonts w:ascii="Times New Roman" w:cs="Times New Roman" w:eastAsia="Times New Roman" w:hAnsi="Times New Roman"/>
          <w:sz w:val="18"/>
          <w:szCs w:val="18"/>
          <w:color w:val="auto"/>
        </w:rPr>
      </w:pPr>
    </w:p>
    <w:p>
      <w:pPr>
        <w:ind w:left="1980" w:right="579" w:hanging="360"/>
        <w:spacing w:after="0" w:line="256" w:lineRule="auto"/>
        <w:tabs>
          <w:tab w:leader="none" w:pos="1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9" w:lineRule="exact"/>
        <w:rPr>
          <w:rFonts w:ascii="Times New Roman" w:cs="Times New Roman" w:eastAsia="Times New Roman" w:hAnsi="Times New Roman"/>
          <w:sz w:val="18"/>
          <w:szCs w:val="18"/>
          <w:color w:val="auto"/>
        </w:rPr>
      </w:pPr>
    </w:p>
    <w:p>
      <w:pPr>
        <w:ind w:left="2340" w:right="999" w:hanging="360"/>
        <w:spacing w:after="0" w:line="282" w:lineRule="auto"/>
        <w:tabs>
          <w:tab w:leader="none" w:pos="23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1279" w:hanging="360"/>
        <w:spacing w:after="0" w:line="282"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2340" w:right="579" w:hanging="360"/>
        <w:spacing w:after="0" w:line="266"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8"/>
          <w:szCs w:val="18"/>
          <w:color w:val="auto"/>
        </w:rPr>
      </w:pPr>
    </w:p>
    <w:p>
      <w:pPr>
        <w:ind w:left="1620" w:right="439" w:hanging="360"/>
        <w:spacing w:after="0" w:line="253"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ectPr>
          <w:pgSz w:w="11900" w:h="16838" w:orient="portrait"/>
          <w:cols w:equalWidth="0" w:num="1">
            <w:col w:w="9879"/>
          </w:cols>
          <w:pgMar w:left="580" w:top="97" w:right="1440" w:bottom="1440" w:gutter="0" w:footer="0" w:header="0"/>
        </w:sectPr>
      </w:pP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60"/>
        <w:spacing w:after="0"/>
        <w:tabs>
          <w:tab w:leader="none" w:pos="4960" w:val="left"/>
        </w:tabs>
        <w:rPr>
          <w:sz w:val="20"/>
          <w:szCs w:val="20"/>
          <w:color w:val="auto"/>
        </w:rPr>
      </w:pPr>
      <w:r>
        <w:rPr>
          <w:rFonts w:ascii="Times New Roman" w:cs="Times New Roman" w:eastAsia="Times New Roman" w:hAnsi="Times New Roman"/>
          <w:sz w:val="25"/>
          <w:szCs w:val="25"/>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Number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-1270</wp:posOffset>
            </wp:positionV>
            <wp:extent cx="4766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ind w:left="1800" w:hanging="701"/>
        <w:spacing w:after="0" w:line="264" w:lineRule="auto"/>
        <w:tabs>
          <w:tab w:leader="none" w:pos="1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tab/>
        <w:t>​ ​</w:t>
      </w:r>
      <w:hyperlink r:id="rId116">
        <w:r>
          <w:rPr>
            <w:rFonts w:ascii="Times New Roman" w:cs="Times New Roman" w:eastAsia="Times New Roman" w:hAnsi="Times New Roman"/>
            <w:sz w:val="18"/>
            <w:szCs w:val="18"/>
            <w:u w:val="single" w:color="auto"/>
            <w:color w:val="0000EE"/>
          </w:rPr>
          <w:t>Seventh Amended and Restated Memorandum and Articles of Association of the Registrant</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effective July 30 2018 (incorporated herein by reference to Exhibit 3.2 to the Form F-1 filed on</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June 29, 2018 (File No. 333-225993))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6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78" w:lineRule="exact"/>
        <w:rPr>
          <w:rFonts w:ascii="Times New Roman" w:cs="Times New Roman" w:eastAsia="Times New Roman" w:hAnsi="Times New Roman"/>
          <w:sz w:val="18"/>
          <w:szCs w:val="18"/>
          <w:color w:val="auto"/>
        </w:rPr>
      </w:pPr>
    </w:p>
    <w:p>
      <w:pPr>
        <w:sectPr>
          <w:pgSz w:w="11900" w:h="16838" w:orient="portrait"/>
          <w:cols w:equalWidth="0" w:num="2">
            <w:col w:w="9160" w:space="30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774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4.1  ​ ​</w:t>
            </w:r>
            <w:hyperlink r:id="rId117">
              <w:r>
                <w:rPr>
                  <w:rFonts w:ascii="Times New Roman" w:cs="Times New Roman" w:eastAsia="Times New Roman" w:hAnsi="Times New Roman"/>
                  <w:sz w:val="18"/>
                  <w:szCs w:val="18"/>
                  <w:color w:val="0000EE"/>
                </w:rPr>
                <w:t>Registrant’s Specimen Certificate for Class A common Shares (incorporated by reference to</w:t>
              </w:r>
            </w:hyperlink>
          </w:p>
        </w:tc>
        <w:tc>
          <w:tcPr>
            <w:tcW w:w="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Exhibit 4.2 to the registration statement on Form F-1/A (File No. 333-225993), filed with the</w:t>
              </w:r>
            </w:hyperlink>
          </w:p>
        </w:tc>
        <w:tc>
          <w:tcPr>
            <w:tcW w:w="5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Securities and Exchange Commission on July 13, 2018)</w:t>
              </w:r>
            </w:hyperlink>
          </w:p>
        </w:tc>
        <w:tc>
          <w:tcPr>
            <w:tcW w:w="28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1400" w:hanging="140"/>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p>
    <w:p>
      <w:pPr>
        <w:spacing w:after="0" w:line="349" w:lineRule="exact"/>
        <w:rPr>
          <w:rFonts w:ascii="Times New Roman" w:cs="Times New Roman" w:eastAsia="Times New Roman" w:hAnsi="Times New Roman"/>
          <w:sz w:val="17"/>
          <w:szCs w:val="17"/>
          <w:color w:val="auto"/>
        </w:rPr>
      </w:pPr>
    </w:p>
    <w:p>
      <w:pPr>
        <w:ind w:left="1400" w:hanging="140"/>
        <w:spacing w:after="0"/>
        <w:tabs>
          <w:tab w:leader="none" w:pos="1400" w:val="left"/>
        </w:tabs>
        <w:numPr>
          <w:ilvl w:val="0"/>
          <w:numId w:val="4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4.3</w:t>
      </w:r>
    </w:p>
    <w:p>
      <w:pPr>
        <w:spacing w:after="0" w:line="28" w:lineRule="exact"/>
        <w:rPr>
          <w:rFonts w:ascii="Times New Roman" w:cs="Times New Roman" w:eastAsia="Times New Roman" w:hAnsi="Times New Roman"/>
          <w:sz w:val="34"/>
          <w:szCs w:val="34"/>
          <w:color w:val="auto"/>
          <w:vertAlign w:val="superscript"/>
        </w:rPr>
      </w:pPr>
    </w:p>
    <w:p>
      <w:pPr>
        <w:ind w:left="1400" w:hanging="140"/>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744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hyperlink r:id="rId118">
              <w:r>
                <w:rPr>
                  <w:rFonts w:ascii="Times New Roman" w:cs="Times New Roman" w:eastAsia="Times New Roman" w:hAnsi="Times New Roman"/>
                  <w:sz w:val="18"/>
                  <w:szCs w:val="18"/>
                  <w:color w:val="0000EE"/>
                </w:rPr>
                <w:t>Deposit Agreement among the Registrant, the depositary and holder of the American Depositary</w:t>
              </w:r>
            </w:hyperlink>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6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Receipts, dated July 25, 2018 (incorporated herein by reference to Exhibit 4.3 to the Form S-8</w:t>
              </w:r>
            </w:hyperlink>
          </w:p>
        </w:tc>
        <w:tc>
          <w:tcPr>
            <w:tcW w:w="1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3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filed on December 17, 2018 (File No. 333-228839))</w:t>
              </w:r>
            </w:hyperlink>
          </w:p>
        </w:tc>
        <w:tc>
          <w:tcPr>
            <w:tcW w:w="33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r>
      <w:tr>
        <w:trPr>
          <w:trHeight w:val="250"/>
        </w:trPr>
        <w:tc>
          <w:tcPr>
            <w:tcW w:w="7440" w:type="dxa"/>
            <w:vAlign w:val="bottom"/>
            <w:gridSpan w:val="5"/>
          </w:tcPr>
          <w:p>
            <w:pPr>
              <w:spacing w:after="0" w:line="250" w:lineRule="exact"/>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28"/>
                <w:szCs w:val="28"/>
                <w:color w:val="000000"/>
                <w:vertAlign w:val="superscript"/>
              </w:rPr>
              <w:t>​</w:t>
            </w:r>
            <w:hyperlink r:id="rId118">
              <w:r>
                <w:rPr>
                  <w:rFonts w:ascii="Times New Roman" w:cs="Times New Roman" w:eastAsia="Times New Roman" w:hAnsi="Times New Roman"/>
                  <w:sz w:val="15"/>
                  <w:szCs w:val="15"/>
                  <w:color w:val="0000EE"/>
                </w:rPr>
                <w:t>Registrant’s Specimen American Depositary Receipt (included in Exhibit 4.2)</w:t>
              </w:r>
            </w:hyperlink>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 w:lineRule="exact"/>
        <w:rPr>
          <w:sz w:val="20"/>
          <w:szCs w:val="20"/>
          <w:color w:val="auto"/>
        </w:rPr>
      </w:pPr>
    </w:p>
    <w:p>
      <w:pPr>
        <w:ind w:left="160" w:right="359" w:hanging="154"/>
        <w:spacing w:after="0" w:line="27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hyperlink r:id="rId119">
        <w:r>
          <w:rPr>
            <w:rFonts w:ascii="Times New Roman" w:cs="Times New Roman" w:eastAsia="Times New Roman" w:hAnsi="Times New Roman"/>
            <w:sz w:val="18"/>
            <w:szCs w:val="18"/>
            <w:u w:val="single" w:color="auto"/>
            <w:color w:val="0000EE"/>
          </w:rPr>
          <w:t>Warrant to Purchase Common Shares issued by the Registrant to PM Partners I LP on February 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2026 (incorporated herein by reference to Exhibit 4.1 to the Form 6-K filed on February 11, 2026</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(File No. 001-38587)</w:t>
        </w:r>
      </w:hyperlink>
    </w:p>
    <w:p>
      <w:pPr>
        <w:spacing w:after="0" w:line="1" w:lineRule="exact"/>
        <w:rPr>
          <w:rFonts w:ascii="Times New Roman" w:cs="Times New Roman" w:eastAsia="Times New Roman" w:hAnsi="Times New Roman"/>
          <w:sz w:val="18"/>
          <w:szCs w:val="18"/>
          <w:color w:val="auto"/>
        </w:rPr>
      </w:pPr>
    </w:p>
    <w:p>
      <w:pPr>
        <w:sectPr>
          <w:pgSz w:w="11900" w:h="16838" w:orient="portrait"/>
          <w:cols w:equalWidth="0" w:num="2">
            <w:col w:w="1620" w:space="180"/>
            <w:col w:w="8079"/>
          </w:cols>
          <w:pgMar w:left="580" w:top="97" w:right="1440" w:bottom="1440" w:gutter="0" w:footer="0" w:header="0"/>
          <w:type w:val="continuous"/>
        </w:sectPr>
      </w:pPr>
    </w:p>
    <w:p>
      <w:pPr>
        <w:spacing w:after="0" w:line="27" w:lineRule="exact"/>
        <w:rPr>
          <w:rFonts w:ascii="Times New Roman" w:cs="Times New Roman" w:eastAsia="Times New Roman" w:hAnsi="Times New Roman"/>
          <w:sz w:val="18"/>
          <w:szCs w:val="18"/>
          <w:color w:val="auto"/>
        </w:rPr>
      </w:pPr>
    </w:p>
    <w:p>
      <w:pPr>
        <w:ind w:left="1340" w:hanging="80"/>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79" w:lineRule="exact"/>
        <w:rPr>
          <w:rFonts w:ascii="Times New Roman" w:cs="Times New Roman" w:eastAsia="Times New Roman" w:hAnsi="Times New Roman"/>
          <w:sz w:val="18"/>
          <w:szCs w:val="18"/>
          <w:color w:val="auto"/>
        </w:rPr>
      </w:pPr>
    </w:p>
    <w:p>
      <w:pPr>
        <w:ind w:left="1340" w:hanging="80"/>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92" w:lineRule="exact"/>
        <w:rPr>
          <w:rFonts w:ascii="Times New Roman" w:cs="Times New Roman" w:eastAsia="Times New Roman" w:hAnsi="Times New Roman"/>
          <w:sz w:val="18"/>
          <w:szCs w:val="18"/>
          <w:color w:val="auto"/>
        </w:rPr>
      </w:pPr>
    </w:p>
    <w:p>
      <w:pPr>
        <w:jc w:val="both"/>
        <w:ind w:left="1260"/>
        <w:spacing w:after="0" w:line="183" w:lineRule="auto"/>
        <w:tabs>
          <w:tab w:leader="none" w:pos="1345" w:val="left"/>
        </w:tabs>
        <w:numPr>
          <w:ilvl w:val="0"/>
          <w:numId w:val="4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24.1*</w:t>
      </w:r>
    </w:p>
    <w:p>
      <w:pPr>
        <w:spacing w:after="0" w:line="2" w:lineRule="exact"/>
        <w:rPr>
          <w:rFonts w:ascii="Times New Roman" w:cs="Times New Roman" w:eastAsia="Times New Roman" w:hAnsi="Times New Roman"/>
          <w:sz w:val="32"/>
          <w:szCs w:val="32"/>
          <w:color w:val="auto"/>
          <w:vertAlign w:val="superscript"/>
        </w:rPr>
      </w:pPr>
    </w:p>
    <w:p>
      <w:pPr>
        <w:ind w:left="1320" w:hanging="60"/>
        <w:spacing w:after="0" w:line="186" w:lineRule="auto"/>
        <w:tabs>
          <w:tab w:leader="none" w:pos="13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107*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left="153" w:right="200" w:hanging="153"/>
        <w:spacing w:after="0" w:line="281" w:lineRule="auto"/>
        <w:tabs>
          <w:tab w:leader="none" w:pos="99"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120">
        <w:r>
          <w:rPr>
            <w:rFonts w:ascii="Times New Roman" w:cs="Times New Roman" w:eastAsia="Times New Roman" w:hAnsi="Times New Roman"/>
            <w:sz w:val="18"/>
            <w:szCs w:val="18"/>
            <w:u w:val="single" w:color="auto"/>
            <w:color w:val="0000EE"/>
          </w:rPr>
          <w:t>Opinion of Maples and Calder (Hong Kong) LLP regarding the validity of the securities being</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registered and certain Cayman Islands legal matters</w:t>
        </w:r>
      </w:hyperlink>
    </w:p>
    <w:p>
      <w:pPr>
        <w:spacing w:after="0" w:line="1" w:lineRule="exact"/>
        <w:rPr>
          <w:rFonts w:ascii="Times New Roman" w:cs="Times New Roman" w:eastAsia="Times New Roman" w:hAnsi="Times New Roman"/>
          <w:sz w:val="18"/>
          <w:szCs w:val="18"/>
          <w:u w:val="single" w:color="auto"/>
          <w:color w:val="0000EE"/>
        </w:rPr>
      </w:pPr>
    </w:p>
    <w:p>
      <w:pPr>
        <w:ind w:left="153" w:hanging="153"/>
        <w:spacing w:after="0" w:line="276" w:lineRule="auto"/>
        <w:tabs>
          <w:tab w:leader="none" w:pos="99"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120">
        <w:r>
          <w:rPr>
            <w:rFonts w:ascii="Times New Roman" w:cs="Times New Roman" w:eastAsia="Times New Roman" w:hAnsi="Times New Roman"/>
            <w:sz w:val="18"/>
            <w:szCs w:val="18"/>
            <w:u w:val="single" w:color="auto"/>
            <w:color w:val="0000EE"/>
          </w:rPr>
          <w:t>Opinion of Maples and Calder (Hong Kong) LLP regarding certain Cayman Islands legal matters</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(included in Exhibit 5.1)</w:t>
        </w:r>
      </w:hyperlink>
    </w:p>
    <w:p>
      <w:pPr>
        <w:spacing w:after="0" w:line="1" w:lineRule="exact"/>
        <w:rPr>
          <w:rFonts w:ascii="Times New Roman" w:cs="Times New Roman" w:eastAsia="Times New Roman" w:hAnsi="Times New Roman"/>
          <w:sz w:val="18"/>
          <w:szCs w:val="18"/>
          <w:u w:val="single" w:color="auto"/>
          <w:color w:val="0000EE"/>
        </w:rPr>
      </w:pPr>
    </w:p>
    <w:p>
      <w:pPr>
        <w:ind w:left="93" w:hanging="93"/>
        <w:spacing w:after="0" w:line="196" w:lineRule="auto"/>
        <w:tabs>
          <w:tab w:leader="none" w:pos="93" w:val="left"/>
        </w:tabs>
        <w:numPr>
          <w:ilvl w:val="0"/>
          <w:numId w:val="45"/>
        </w:numPr>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35"/>
          <w:szCs w:val="35"/>
          <w:color w:val="000000"/>
          <w:vertAlign w:val="superscript"/>
        </w:rPr>
        <w:t>​</w:t>
      </w:r>
      <w:hyperlink r:id="rId121">
        <w:r>
          <w:rPr>
            <w:rFonts w:ascii="Times New Roman" w:cs="Times New Roman" w:eastAsia="Times New Roman" w:hAnsi="Times New Roman"/>
            <w:sz w:val="18"/>
            <w:szCs w:val="18"/>
            <w:u w:val="single" w:color="auto"/>
            <w:color w:val="0000EE"/>
          </w:rPr>
          <w:t>Opinion of Han Kun Law Offices regarding certain PRC legal matters</w:t>
        </w:r>
      </w:hyperlink>
    </w:p>
    <w:p>
      <w:pPr>
        <w:spacing w:after="0" w:line="1" w:lineRule="exact"/>
        <w:rPr>
          <w:rFonts w:ascii="Times New Roman" w:cs="Times New Roman" w:eastAsia="Times New Roman" w:hAnsi="Times New Roman"/>
          <w:sz w:val="18"/>
          <w:szCs w:val="18"/>
          <w:color w:val="0000EE"/>
        </w:rPr>
      </w:pPr>
    </w:p>
    <w:p>
      <w:pPr>
        <w:ind w:left="93" w:hanging="93"/>
        <w:spacing w:after="0" w:line="181" w:lineRule="auto"/>
        <w:tabs>
          <w:tab w:leader="none" w:pos="93" w:val="left"/>
        </w:tabs>
        <w:numPr>
          <w:ilvl w:val="0"/>
          <w:numId w:val="45"/>
        </w:numPr>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30"/>
          <w:szCs w:val="30"/>
          <w:color w:val="000000"/>
          <w:vertAlign w:val="superscript"/>
        </w:rPr>
        <w:t>​</w:t>
      </w:r>
      <w:hyperlink r:id="rId122">
        <w:r>
          <w:rPr>
            <w:rFonts w:ascii="Times New Roman" w:cs="Times New Roman" w:eastAsia="Times New Roman" w:hAnsi="Times New Roman"/>
            <w:sz w:val="16"/>
            <w:szCs w:val="16"/>
            <w:u w:val="single" w:color="auto"/>
            <w:color w:val="0000EE"/>
          </w:rPr>
          <w:t>Consent of Ernst &amp; Young Hua Ming LLP, an independent registered public accounting firm</w:t>
        </w:r>
      </w:hyperlink>
    </w:p>
    <w:p>
      <w:pPr>
        <w:spacing w:after="0" w:line="1" w:lineRule="exact"/>
        <w:rPr>
          <w:rFonts w:ascii="Times New Roman" w:cs="Times New Roman" w:eastAsia="Times New Roman" w:hAnsi="Times New Roman"/>
          <w:sz w:val="16"/>
          <w:szCs w:val="16"/>
          <w:color w:val="0000EE"/>
        </w:rPr>
      </w:pPr>
    </w:p>
    <w:p>
      <w:pPr>
        <w:ind w:left="93" w:hanging="93"/>
        <w:spacing w:after="0" w:line="181" w:lineRule="auto"/>
        <w:tabs>
          <w:tab w:leader="none" w:pos="93" w:val="left"/>
        </w:tabs>
        <w:numPr>
          <w:ilvl w:val="0"/>
          <w:numId w:val="45"/>
        </w:numPr>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30"/>
          <w:szCs w:val="30"/>
          <w:color w:val="000000"/>
          <w:vertAlign w:val="superscript"/>
        </w:rPr>
        <w:t>​</w:t>
      </w:r>
      <w:hyperlink r:id="rId120">
        <w:r>
          <w:rPr>
            <w:rFonts w:ascii="Times New Roman" w:cs="Times New Roman" w:eastAsia="Times New Roman" w:hAnsi="Times New Roman"/>
            <w:sz w:val="16"/>
            <w:szCs w:val="16"/>
            <w:u w:val="single" w:color="auto"/>
            <w:color w:val="0000EE"/>
          </w:rPr>
          <w:t>Consent of Maples and Calder (Hong Kong) LLP (included in Exhibit 5.1)</w:t>
        </w:r>
      </w:hyperlink>
    </w:p>
    <w:p>
      <w:pPr>
        <w:spacing w:after="0" w:line="1" w:lineRule="exact"/>
        <w:rPr>
          <w:rFonts w:ascii="Times New Roman" w:cs="Times New Roman" w:eastAsia="Times New Roman" w:hAnsi="Times New Roman"/>
          <w:sz w:val="16"/>
          <w:szCs w:val="16"/>
          <w:color w:val="0000EE"/>
        </w:rPr>
      </w:pPr>
    </w:p>
    <w:p>
      <w:pPr>
        <w:ind w:left="93" w:hanging="93"/>
        <w:spacing w:after="0" w:line="181" w:lineRule="auto"/>
        <w:tabs>
          <w:tab w:leader="none" w:pos="93" w:val="left"/>
        </w:tabs>
        <w:numPr>
          <w:ilvl w:val="0"/>
          <w:numId w:val="45"/>
        </w:numPr>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30"/>
          <w:szCs w:val="30"/>
          <w:color w:val="000000"/>
          <w:vertAlign w:val="superscript"/>
        </w:rPr>
        <w:t>​</w:t>
      </w:r>
      <w:hyperlink r:id="rId121">
        <w:r>
          <w:rPr>
            <w:rFonts w:ascii="Times New Roman" w:cs="Times New Roman" w:eastAsia="Times New Roman" w:hAnsi="Times New Roman"/>
            <w:sz w:val="16"/>
            <w:szCs w:val="16"/>
            <w:u w:val="single" w:color="auto"/>
            <w:color w:val="0000EE"/>
          </w:rPr>
          <w:t>Consent of Han Kun Law Offices (included in Exhibit 8.2)</w:t>
        </w:r>
      </w:hyperlink>
    </w:p>
    <w:p>
      <w:pPr>
        <w:spacing w:after="0" w:line="1" w:lineRule="exact"/>
        <w:rPr>
          <w:rFonts w:ascii="Times New Roman" w:cs="Times New Roman" w:eastAsia="Times New Roman" w:hAnsi="Times New Roman"/>
          <w:sz w:val="16"/>
          <w:szCs w:val="16"/>
          <w:color w:val="0000EE"/>
        </w:rPr>
      </w:pPr>
    </w:p>
    <w:p>
      <w:pPr>
        <w:ind w:left="93" w:hanging="93"/>
        <w:spacing w:after="0" w:line="181" w:lineRule="auto"/>
        <w:tabs>
          <w:tab w:leader="none" w:pos="93" w:val="left"/>
        </w:tabs>
        <w:numPr>
          <w:ilvl w:val="0"/>
          <w:numId w:val="45"/>
        </w:numPr>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30"/>
          <w:szCs w:val="30"/>
          <w:color w:val="000000"/>
          <w:vertAlign w:val="superscript"/>
        </w:rPr>
        <w:t>​</w:t>
      </w:r>
      <w:hyperlink r:id="rId123">
        <w:r>
          <w:rPr>
            <w:rFonts w:ascii="Times New Roman" w:cs="Times New Roman" w:eastAsia="Times New Roman" w:hAnsi="Times New Roman"/>
            <w:sz w:val="16"/>
            <w:szCs w:val="16"/>
            <w:u w:val="single" w:color="auto"/>
            <w:color w:val="0000EE"/>
          </w:rPr>
          <w:t>Powers of Attorney (included on signature page)</w:t>
        </w:r>
      </w:hyperlink>
    </w:p>
    <w:p>
      <w:pPr>
        <w:spacing w:after="0" w:line="1" w:lineRule="exact"/>
        <w:rPr>
          <w:rFonts w:ascii="Times New Roman" w:cs="Times New Roman" w:eastAsia="Times New Roman" w:hAnsi="Times New Roman"/>
          <w:sz w:val="16"/>
          <w:szCs w:val="16"/>
          <w:color w:val="0000EE"/>
        </w:rPr>
      </w:pPr>
    </w:p>
    <w:p>
      <w:pPr>
        <w:ind w:left="93" w:hanging="93"/>
        <w:spacing w:after="0" w:line="232" w:lineRule="auto"/>
        <w:tabs>
          <w:tab w:leader="none" w:pos="93" w:val="left"/>
        </w:tabs>
        <w:numPr>
          <w:ilvl w:val="0"/>
          <w:numId w:val="45"/>
        </w:numPr>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35"/>
          <w:szCs w:val="35"/>
          <w:color w:val="000000"/>
          <w:vertAlign w:val="superscript"/>
        </w:rPr>
        <w:t>​</w:t>
      </w:r>
      <w:hyperlink r:id="rId124">
        <w:r>
          <w:rPr>
            <w:rFonts w:ascii="Times New Roman" w:cs="Times New Roman" w:eastAsia="Times New Roman" w:hAnsi="Times New Roman"/>
            <w:sz w:val="18"/>
            <w:szCs w:val="18"/>
            <w:u w:val="single" w:color="auto"/>
            <w:color w:val="0000EE"/>
          </w:rPr>
          <w:t>Registration Fee Table</w:t>
        </w:r>
      </w:hyperlink>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drawing>
          <wp:anchor simplePos="0" relativeHeight="251657728" behindDoc="1" locked="0" layoutInCell="0" allowOverlap="1">
            <wp:simplePos x="0" y="0"/>
            <wp:positionH relativeFrom="column">
              <wp:posOffset>-346710</wp:posOffset>
            </wp:positionH>
            <wp:positionV relativeFrom="paragraph">
              <wp:posOffset>10795</wp:posOffset>
            </wp:positionV>
            <wp:extent cx="1234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36"/>
          <w:szCs w:val="36"/>
          <w:color w:val="auto"/>
          <w:vertAlign w:val="superscript"/>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6" w:lineRule="exact"/>
        <w:rPr>
          <w:rFonts w:ascii="Times New Roman" w:cs="Times New Roman" w:eastAsia="Times New Roman" w:hAnsi="Times New Roman"/>
          <w:sz w:val="36"/>
          <w:szCs w:val="36"/>
          <w:color w:val="auto"/>
          <w:vertAlign w:val="superscript"/>
        </w:rPr>
      </w:pPr>
    </w:p>
    <w:p>
      <w:pPr>
        <w:sectPr>
          <w:pgSz w:w="11900" w:h="16838" w:orient="portrait"/>
          <w:cols w:equalWidth="0" w:num="3">
            <w:col w:w="1720" w:space="87"/>
            <w:col w:w="7473" w:space="180"/>
            <w:col w:w="419"/>
          </w:cols>
          <w:pgMar w:left="580" w:top="97" w:right="1440" w:bottom="1440" w:gutter="0" w:footer="0" w:header="0"/>
          <w:type w:val="continuous"/>
        </w:sectPr>
      </w:pPr>
    </w:p>
    <w:p>
      <w:pPr>
        <w:ind w:left="1620" w:hanging="360"/>
        <w:spacing w:after="0"/>
        <w:tabs>
          <w:tab w:leader="none" w:pos="1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344" w:lineRule="exact"/>
        <w:rPr>
          <w:rFonts w:ascii="Times New Roman" w:cs="Times New Roman" w:eastAsia="Times New Roman" w:hAnsi="Times New Roman"/>
          <w:sz w:val="36"/>
          <w:szCs w:val="36"/>
          <w:color w:val="auto"/>
          <w:vertAlign w:val="superscript"/>
        </w:rPr>
      </w:pPr>
    </w:p>
    <w:p>
      <w:pPr>
        <w:jc w:val="right"/>
        <w:ind w:right="439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6"/>
          <w:szCs w:val="36"/>
          <w:color w:val="auto"/>
          <w:vertAlign w:val="superscript"/>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Shenzhen, China on April 20, 2026.</w:t>
      </w:r>
    </w:p>
    <w:p>
      <w:pPr>
        <w:spacing w:after="0" w:line="3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Weidong Luo</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Chairman of the Board of Directors</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139"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set forth below on April 20, 2026.</w:t>
      </w:r>
    </w:p>
    <w:p>
      <w:pPr>
        <w:sectPr>
          <w:pgSz w:w="11900" w:h="16838" w:orient="portrait"/>
          <w:cols w:equalWidth="0" w:num="1">
            <w:col w:w="9879"/>
          </w:cols>
          <w:pgMar w:left="580" w:top="97" w:right="1440" w:bottom="1440" w:gutter="0" w:footer="0" w:header="0"/>
        </w:sectPr>
      </w:pPr>
    </w:p>
    <w:p>
      <w:pPr>
        <w:ind w:left="1260"/>
        <w:spacing w:after="0" w:line="180" w:lineRule="auto"/>
        <w:tabs>
          <w:tab w:leader="none" w:pos="268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2194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Weidong Luo</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Kwok Hin Tang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John Tiong Lu Koh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Peter Si Ngai Yeung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Hon Sang Lee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/s/ Shan-Nen 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1945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Shan-Nen Bong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color w:val="auto"/>
        </w:rPr>
        <w:t>*By:</w:t>
        <w:tab/>
        <w:t>/s/ Weidong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34290</wp:posOffset>
            </wp:positionV>
            <wp:extent cx="18516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Name: Weidong Luo</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2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5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4" w:lineRule="exact"/>
        <w:rPr>
          <w:sz w:val="20"/>
          <w:szCs w:val="20"/>
          <w:color w:val="auto"/>
        </w:rPr>
      </w:pPr>
    </w:p>
    <w:p>
      <w:pPr>
        <w:ind w:left="220" w:right="679"/>
        <w:spacing w:after="0" w:line="282" w:lineRule="auto"/>
        <w:rPr>
          <w:sz w:val="20"/>
          <w:szCs w:val="20"/>
          <w:color w:val="auto"/>
        </w:rPr>
      </w:pPr>
      <w:r>
        <w:rPr>
          <w:rFonts w:ascii="Times New Roman" w:cs="Times New Roman" w:eastAsia="Times New Roman" w:hAnsi="Times New Roman"/>
          <w:sz w:val="18"/>
          <w:szCs w:val="18"/>
          <w:color w:val="auto"/>
        </w:rPr>
        <w:t>Chairman of the Board of Directors and Chief Executive Officer (principal executive officer)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527"/>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9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526"/>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526"/>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526"/>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40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8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636" w:lineRule="exact"/>
        <w:rPr>
          <w:sz w:val="20"/>
          <w:szCs w:val="20"/>
          <w:color w:val="auto"/>
        </w:rPr>
      </w:pPr>
    </w:p>
    <w:p>
      <w:pPr>
        <w:sectPr>
          <w:pgSz w:w="11900" w:h="16838" w:orient="portrait"/>
          <w:cols w:equalWidth="0" w:num="2">
            <w:col w:w="4000" w:space="720"/>
            <w:col w:w="51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Act, the undersigned, the duly authorized representative in the United States of Aurora Mobile Limited, has signed this registration statement in Newark, Delaware on April 20, 2026.</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1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Donald J. Puglisi</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Roman"/>
      <w:start w:val="3"/>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lvl w:ilvl="1">
      <w:lvlJc w:val="left"/>
      <w:lvlText w:val="(%2)"/>
      <w:numFmt w:val="lowerRoman"/>
      <w:start w:val="1"/>
    </w:lvl>
  </w:abstractNum>
  <w:abstractNum w:abstractNumId="23">
    <w:nsid w:val="5577F8E1"/>
    <w:multiLevelType w:val="hybridMultilevel"/>
    <w:lvl w:ilvl="0">
      <w:lvlJc w:val="left"/>
      <w:lvlText w:val="•"/>
      <w:numFmt w:val="bullet"/>
      <w:start w:val="1"/>
    </w:lvl>
    <w:lvl w:ilvl="1">
      <w:lvlJc w:val="left"/>
      <w:lvlText w:val="(%2)"/>
      <w:numFmt w:val="lowerRoman"/>
      <w:start w:val="3"/>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decimal"/>
      <w:start w:val="1"/>
    </w:lvl>
    <w:lvl w:ilvl="1">
      <w:lvlJc w:val="left"/>
      <w:lvlText w:val="(%2)"/>
      <w:numFmt w:val="lowerRoman"/>
      <w:start w:val="1"/>
    </w:lvl>
  </w:abstractNum>
  <w:abstractNum w:abstractNumId="39">
    <w:nsid w:val="2A487CB0"/>
    <w:multiLevelType w:val="hybridMultilevel"/>
    <w:lvl w:ilvl="0">
      <w:lvlJc w:val="left"/>
      <w:lvlText w:val="(%1)"/>
      <w:numFmt w:val="decimal"/>
      <w:start w:val="6"/>
    </w:lvl>
    <w:lvl w:ilvl="1">
      <w:lvlJc w:val="left"/>
      <w:lvlText w:val="(%2)"/>
      <w:numFmt w:val="lowerRoman"/>
      <w:start w:val="1"/>
    </w:lvl>
  </w:abstractNum>
  <w:abstractNum w:abstractNumId="40">
    <w:nsid w:val="1D4ED43B"/>
    <w:multiLevelType w:val="hybridMultilevel"/>
    <w:lvl w:ilvl="0">
      <w:lvlJc w:val="left"/>
      <w:lvlText w:val="%1"/>
      <w:numFmt w:val="lowerLetter"/>
      <w:start w:val="1"/>
    </w:lvl>
    <w:lvl w:ilvl="1">
      <w:lvlJc w:val="left"/>
      <w:lvlText w:val="(%2)"/>
      <w:numFmt w:val="lowerRoman"/>
      <w:start w:val="2"/>
    </w:lvl>
  </w:abstractNum>
  <w:abstractNum w:abstractNumId="41">
    <w:nsid w:val="725A06FB"/>
    <w:multiLevelType w:val="hybridMultilevel"/>
    <w:lvl w:ilvl="0">
      <w:lvlJc w:val="left"/>
      <w:lvlText w:val="(%1)"/>
      <w:numFmt w:val="lowerLetter"/>
      <w:start w:val="2"/>
    </w:lvl>
    <w:lvl w:ilvl="1">
      <w:lvlJc w:val="left"/>
      <w:lvlText w:val="%2"/>
      <w:numFmt w:val="lowerRoman"/>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jpe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02" Type="http://schemas.openxmlformats.org/officeDocument/2006/relationships/hyperlink" Target="https://www.sec.gov/ix?doc=/Archives/edgar/data/1737339/000110465926035657/jg-20251231x20f.htm" TargetMode="External"/><Relationship Id="rId103" Type="http://schemas.openxmlformats.org/officeDocument/2006/relationships/hyperlink" Target="https://www.sec.gov/Archives/edgar/data/1737339/000110465926013043/tm265783d1_6k.htm" TargetMode="External"/><Relationship Id="rId104" Type="http://schemas.openxmlformats.org/officeDocument/2006/relationships/hyperlink" Target="https://www.sec.gov/Archives/edgar/data/1737339/000119312518217878/d352582d8a12b.htm" TargetMode="External"/><Relationship Id="rId116" Type="http://schemas.openxmlformats.org/officeDocument/2006/relationships/hyperlink" Target="https://www.sec.gov/Archives/edgar/data/1737339/000119312518209561/d567445dex32.htm" TargetMode="External"/><Relationship Id="rId117" Type="http://schemas.openxmlformats.org/officeDocument/2006/relationships/hyperlink" Target="https://www.sec.gov/Archives/edgar/data/1737339/000119312518217954/d567445dex42.htm" TargetMode="External"/><Relationship Id="rId118" Type="http://schemas.openxmlformats.org/officeDocument/2006/relationships/hyperlink" Target="https://www.sec.gov/Archives/edgar/data/1737339/000119312518350430/d668146dex43.htm" TargetMode="External"/><Relationship Id="rId119" Type="http://schemas.openxmlformats.org/officeDocument/2006/relationships/hyperlink" Target="https://www.sec.gov/Archives/edgar/data/1737339/000110465926013043/tm265783d1_ex4-1.htm" TargetMode="External"/><Relationship Id="rId120" Type="http://schemas.openxmlformats.org/officeDocument/2006/relationships/hyperlink" Target="http://www.sec.gov/Archives/edgar/data/1737339/000110465926035679/tm269692d2_ex5-1.htm" TargetMode="External"/><Relationship Id="rId121" Type="http://schemas.openxmlformats.org/officeDocument/2006/relationships/hyperlink" Target="http://www.sec.gov/Archives/edgar/data/1737339/000110465926035679/tm269692d2_ex8-2.htm" TargetMode="External"/><Relationship Id="rId122" Type="http://schemas.openxmlformats.org/officeDocument/2006/relationships/hyperlink" Target="http://www.sec.gov/Archives/edgar/data/1737339/000110465926035679/tm269692d2_ex23-1.htm" TargetMode="External"/><Relationship Id="rId123" Type="http://schemas.openxmlformats.org/officeDocument/2006/relationships/hyperlink" Target="https://www.sec.gov/Archives/edgar/data/1737339/000110465926035679/tm269692-1_f3.htm#tSIG1" TargetMode="External"/><Relationship Id="rId124" Type="http://schemas.openxmlformats.org/officeDocument/2006/relationships/hyperlink" Target="http://www.sec.gov/ix?doc=/Archives/edgar/data/1737339/000110465926035679/tm269692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2026-04-20T08:18:15Z</dcterms:created>
  <dcterms:modified xsi:type="dcterms:W3CDTF">2026-04-20T08:18:15Z</dcterms:modified>
</cp:coreProperties>
</file>