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594d1_6k.htm"/>
      <w:bookmarkStart w:id="1" w:name="kstm262359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001-38587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Aurora Mobile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31/F, Block 12-A, Shenzhen Bay Science and Technology Ecological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Nanshan District, Shenzhen, Guangdong 518057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including the exhibit hereto, is incorporated by reference into the registration statement on Form F-3 (File No. 333-290371) and the registration statement on Form F-3 (File No. 333-294664) of the Company and shall be a part of such registration statements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995"/>
        <w:gridCol w:w="60"/>
        <w:gridCol w:w="768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76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2359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tm2623594d1_ex99-1.htm">
              <w:r>
                <w:rPr>
                  <w:rStyle w:val="InternetLink"/>
                  <w:rFonts w:ascii="Times New Roman;Times;Serif" w:hAnsi="Times New Roman;Times;Serif"/>
                  <w:sz w:val="20"/>
                </w:rPr>
                <w:t xml:space="preserve">Aurora Mobile Limited Announces </w:t>
              </w:r>
            </w:hyperlink>
            <w:hyperlink w:anchor="tm2623594d1_ex99-1.htm">
              <w:r>
                <w:rPr>
                  <w:rStyle w:val="InternetLink"/>
                  <w:rFonts w:ascii="Times New Roman;Times;Serif" w:hAnsi="Times New Roman;Times;Serif"/>
                </w:rPr>
                <w:t>Second Quarter 2026 Unaudited Financial Results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Aurora Mobile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Shan-Nen Bong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Shan-Nen Bong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594d1_ex99-1.htm"/>
      <w:bookmarkStart w:id="3" w:name="kstm2623594d1_ex991"/>
      <w:bookmarkEnd w:id="2"/>
      <w:bookmarkEnd w:id="3"/>
      <w:r>
        <w:rPr/>
        <w:t> </w:t>
      </w:r>
      <w:r>
        <w:br w:type="page"/>
      </w:r>
    </w:p>
    <w:p>
      <w:pPr>
        <w:pStyle w:val="TextBody"/>
        <w:bidi w:val="0"/>
        <w:spacing w:before="0" w:after="0"/>
        <w:ind w:left="0" w:right="0" w:firstLine="79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Aurora Mobile Limited Announces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August 20, 2026 – Aurora Mobile Limited (“Aurora Mobile” or the “Company”) (NASDAQ: JG), a leading provider of customer engagement and marketing technology services,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1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xml:space="preserve"> were RMB101.2 million (US$14.9 million), an increase of 13% year-over-year.</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1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Cost of revenues</w:t>
            </w:r>
            <w:r>
              <w:rPr>
                <w:rFonts w:ascii="Times New Roman;Times;Serif" w:hAnsi="Times New Roman;Times;Serif"/>
                <w:sz w:val="20"/>
              </w:rPr>
              <w:t xml:space="preserve"> was RMB32.0 million (US$4.7 million), an increase of 6% year-over-year.</w:t>
            </w:r>
          </w:p>
        </w:tc>
      </w:tr>
    </w:tbl>
    <w:p>
      <w:pPr>
        <w:pStyle w:val="TextBody"/>
        <w:bidi w:val="0"/>
        <w:spacing w:before="0" w:after="0"/>
        <w:ind w:left="0" w:right="0" w:hanging="0"/>
        <w:jc w:val="left"/>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Gross profit</w:t>
            </w:r>
            <w:r>
              <w:rPr>
                <w:rFonts w:ascii="Times New Roman;Times;Serif" w:hAnsi="Times New Roman;Times;Serif"/>
                <w:sz w:val="20"/>
              </w:rPr>
              <w:t xml:space="preserve"> was RMB69.2 million (US$10.2 million), an increase of 16% year-over-year.</w:t>
            </w:r>
          </w:p>
        </w:tc>
      </w:tr>
    </w:tbl>
    <w:p>
      <w:pPr>
        <w:pStyle w:val="TextBody"/>
        <w:bidi w:val="0"/>
        <w:spacing w:before="0" w:after="0"/>
        <w:ind w:left="0" w:right="0" w:hanging="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1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Total operating expenses</w:t>
            </w:r>
            <w:r>
              <w:rPr>
                <w:rFonts w:ascii="Times New Roman;Times;Serif" w:hAnsi="Times New Roman;Times;Serif"/>
                <w:sz w:val="20"/>
              </w:rPr>
              <w:t xml:space="preserve"> were RMB67.6 million (US$10.0 million), an increase of 11% year-over-year.</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Net income</w:t>
            </w:r>
            <w:r>
              <w:rPr>
                <w:rFonts w:ascii="Times New Roman;Times;Serif" w:hAnsi="Times New Roman;Times;Serif"/>
                <w:sz w:val="20"/>
              </w:rPr>
              <w:t xml:space="preserve"> was RMB2.1 million (US$0.3 million), compared with RMB0.5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Net income attributable to Aurora Mobile Limited’s shareholders </w:t>
            </w:r>
            <w:r>
              <w:rPr>
                <w:rFonts w:ascii="Times New Roman;Times;Serif" w:hAnsi="Times New Roman;Times;Serif"/>
                <w:sz w:val="20"/>
              </w:rPr>
              <w:t>was RMB1.9 million (US$0.3 million), compared with a net loss attributable to Aurora Mobile Limited’s shareholders of RMB21 thousand in the same quarter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Adjusted net income (non-GAAP) </w:t>
            </w:r>
            <w:r>
              <w:rPr>
                <w:rFonts w:ascii="Times New Roman;Times;Serif" w:hAnsi="Times New Roman;Times;Serif"/>
                <w:sz w:val="20"/>
              </w:rPr>
              <w:t>was RMB2.4 million (US$0.4 million), compared with RMB0.8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Adjusted EBITDA (non-GAAP) </w:t>
            </w:r>
            <w:r>
              <w:rPr>
                <w:rFonts w:ascii="Times New Roman;Times;Serif" w:hAnsi="Times New Roman;Times;Serif"/>
                <w:sz w:val="20"/>
              </w:rPr>
              <w:t>was RMB3.8 million (US$0.6 million), compared with RMB1.2 million in the same quarter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Weidong Luo, Chairman and Chief Executive Officer of Aurora Mobile, commented, “We delivered great second quarter results. Our achievements for the quarter are as follows:</w:t>
      </w:r>
    </w:p>
    <w:p>
      <w:pPr>
        <w:pStyle w:val="TextBody"/>
        <w:bidi w:val="0"/>
        <w:spacing w:before="0" w:after="0"/>
        <w:ind w:left="0" w:right="0" w:hanging="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third time in our history, we recorded SAAS business revenue in excess of RMB100 million in a single quarter.</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1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Developer Service Revenue recorded its highest quarterly revenue in history, at approximately RMB79.9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global flagship product, EngageLab, had its best quarter yet. EngageLab’s Annual Recurring Revenue (“ARR”) as of June 2026 reached a record high of US$14.6 million, representing 170% year-over-year growth.</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1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grew by 16% year-over-year. Gross margin improved by 197 basis points year-over-year.</w:t>
            </w:r>
          </w:p>
        </w:tc>
      </w:tr>
    </w:tbl>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1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quarter, we delivered our fifth consecutive quarter of US GAAP net profit.</w:t>
            </w:r>
          </w:p>
        </w:tc>
      </w:tr>
    </w:tbl>
    <w:p>
      <w:pPr>
        <w:pStyle w:val="TextBody"/>
        <w:bidi w:val="0"/>
        <w:spacing w:before="0" w:after="0"/>
        <w:ind w:left="0" w:right="0" w:hanging="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Dollar Retention Rate (“NDR”) for Core Developer Subscription Services stood strongly at 106%, a historic high.</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1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Last but not least, operationally, we generated net cash inflow of RMB23.3 million this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Shan-Nen Bong, Chief Financial Officer of Aurora Mobile, added, “The momentum we built in the second quarter of 2026 was truly phenomenal. The quarterly operational and financial results we are releasing today reflect considerable strength across our business. We will continue to execute against our established strategic priorities. As we deliver on our execution roadmap, we are confident these operational wins will translate into sustained improvements in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val="false"/>
          <w:i w:val="false"/>
          <w:caps w:val="false"/>
          <w:smallCaps w:val="false"/>
          <w:sz w:val="20"/>
        </w:rPr>
        <w:t xml:space="preserve"> were RMB101.2 million (US$14.9 million), an increase of 13% from RMB89.9 million in the same quarter of last year, attributable to a 24% increase in revenue from Developer Services and partially offset by a 16% decrease in revenue from Vertical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was RMB32.0 million (US$4.7 million), an increase of 6% from RMB30.2 million in the same quarter of last year. The increase was mainly due to a RMB5.9 million increase in direct costs related to overseas business including One-Time Password (“OTP”), WhatsApp push and GPTBots.ai. The impact is partially offset by a RMB1.4 million decrease in media cost and a RMB2.5 million decrease in message channel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was RMB69.2 million (US$10.2 million), an increase of 16% from RMB59.6 million in the same quarter of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were RMB67.6 million (US$10.0 million), an increase of 11% from RMB60.8 million in the same quarter of last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Research and development expenses</w:t>
            </w:r>
            <w:r>
              <w:rPr>
                <w:rFonts w:ascii="Times New Roman;Times;Serif" w:hAnsi="Times New Roman;Times;Serif"/>
                <w:sz w:val="20"/>
              </w:rPr>
              <w:t xml:space="preserve"> were RMB29.3 million (US$4.3 million), an increase of 13% from RMB26.0 million in the same quarter of last year, mainly due to a RMB1.4 million increase in personnel costs and a RMB1.3 million increase in technical service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Sales and marketing expenses</w:t>
            </w:r>
            <w:r>
              <w:rPr>
                <w:rFonts w:ascii="Times New Roman;Times;Serif" w:hAnsi="Times New Roman;Times;Serif"/>
                <w:sz w:val="20"/>
              </w:rPr>
              <w:t xml:space="preserve"> were RMB28.3 million (US$4.2 million), an increase of 25% from RMB22.7 million in the same quarter of last year, mainly due to a RMB5.7 million increase in personnel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General and administrative expenses </w:t>
            </w:r>
            <w:r>
              <w:rPr>
                <w:rFonts w:ascii="Times New Roman;Times;Serif" w:hAnsi="Times New Roman;Times;Serif"/>
                <w:sz w:val="20"/>
              </w:rPr>
              <w:t>were RMB10.0 million (US$1.5 million), a decrease of 18% from RMB12.2 million in the same quarter of last year, mainly due to a RMB1.5 million decrease in bad debt provision and a RMB0.7 million decrease in loss on disposal of 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was RMB1.6 million (US$0.2 million), compared with a loss from operations of RMB0.9 million in the same quarter of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was RMB2.1 million (US$0.3 million), compared with RMB0.5 million in the same quarter of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income (non-GAAP)</w:t>
      </w:r>
      <w:r>
        <w:rPr>
          <w:rFonts w:ascii="Times New Roman;Times;Serif" w:hAnsi="Times New Roman;Times;Serif"/>
          <w:b w:val="false"/>
          <w:i w:val="false"/>
          <w:caps w:val="false"/>
          <w:smallCaps w:val="false"/>
          <w:sz w:val="20"/>
        </w:rPr>
        <w:t xml:space="preserve"> was RMB2.4 million (US$0.4 million), compared with RMB0.8 million in the same quarter of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 (non-GAAP)</w:t>
      </w:r>
      <w:r>
        <w:rPr>
          <w:rFonts w:ascii="Times New Roman;Times;Serif" w:hAnsi="Times New Roman;Times;Serif"/>
          <w:b w:val="false"/>
          <w:i w:val="false"/>
          <w:caps w:val="false"/>
          <w:smallCaps w:val="false"/>
          <w:sz w:val="20"/>
        </w:rPr>
        <w:t xml:space="preserve"> was RMB3.8 million (US$0.6 million), compared with RMB1.2 million for the same quarter of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and cash equivalents, restricted cash and short-term investment were RMB166.8 million (US$24.6 million) as of June 30, 2026, compared with RMB173.4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on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June 30, 2026, the Company had repurchased a total of 485,173 ADSs, of which 43,808 ADSs, or around US$252.2 thousand were repurchased during the second quarter in 2026. ADS refers to American Depositary Shares, each 3 ADS representing 40 Class A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on Thursday, August 20, 2026 at 7:30 a.m. U.S. Eastern Time (7:30 p.m. Beijing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must register in advance to join the conference using the link provided below. Please dial in 15 minutes before the call is scheduled to begin. Conference access information will be provided upon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https://register-conf.media-server.com/register/BIecf8a1d878f04ef4b77c4bbb85510978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on the Investor Relations section of Aurora Mobile’s website at </w:t>
      </w:r>
      <w:r>
        <w:rPr>
          <w:rFonts w:ascii="Times New Roman;Times;Serif" w:hAnsi="Times New Roman;Times;Serif"/>
          <w:b w:val="false"/>
          <w:i w:val="false"/>
          <w:caps w:val="false"/>
          <w:smallCaps w:val="false"/>
          <w:sz w:val="20"/>
          <w:u w:val="single"/>
        </w:rPr>
        <w:t>https://ir.aurora-mobile.com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two non-GAAP measures, adjusted net income/(loss) and adjusted EBITDA, as a supplemental measure to review and assess its operating performance. The presentation of these non-GAAP financial measures is not intended to be considered in isolation or as a substitute for the financial information prepared and presented in accordance with U.S. GAAP. The Company defines adjusted net income/(loss) as net income/(loss) excluding share-based compensation. The Company defines adjusted EBITDA as net income/(loss) excluding interest expense, depreciation of property and equipment, amortization of intangible assets, income tax expenses/(benefits) and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adjusted net income/(loss) and adjusted EBITDA help identify underlying trends in its business that could otherwise be distorted by the effect of certain expenses that it includes in income/(loss) from operations and net income/(loss).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adjusted net income/(loss) and adjusted EBITDA provide useful information about its operating results, enhance the overall understanding of its past performance and future prospects and allow for greater visibility with respect to key metrics used by the management in their financial and operational decision-making.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defined under U.S. GAAP and are not presented in accordance with U.S. GAAP. The non-GAAP financial measures have limitations as analytical tools. One of the key limitations of using adjusted net income/(loss) and adjusted EBITDA is that they do not reflect all items of income and expense that affect the Company’s operations. Further, the non-GAAP financial measures may differ from the non-GAAP information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compensates for these limitations by reconciling the non-GAAP financial measures to the nearest U.S. GAAP performance measure, all of which should be considered when evaluating the Company’s performance. The Company encourages you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non-GAAP financial measures to the most comparable U.S. GAAP measure are included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Dollar Retention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Dollar Retention Rate is calculated for a trailing 12-month period by first identifying all Developer Subscription customers (excluding private cloud business) in the prior 12-month period, and then calculating the quotient from dividing the revenue generated from such customers in the trailing 12-month period by the revenue generated from the same group of customers in the prior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Recurring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Annual Recurring Revenue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relevant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Business Outlook and quotations from management in this announcement, as well as Aurora Mobile’s strategic and operational plans, contain forward-looking statements. Aurora Mobile may also make written or oral forward-looking statements in its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Aurora Mobile’s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Aurora Mobile’s strategies; Aurora Mobile’s future business development, financial condition and results of operations; Aurora Mobile’s ability to attract and retain customers; its ability to develop and effectively market data solutions, and penetrate the existing market for developer services; its ability to transition to the new advertising-driven SAAS business model; its ability to maintain or enhance its brand; the competition with current or future competitors; its ability to continue to gain access to mobile data in the future; the laws and regulations relating to data privacy and protection;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Aurora Mobile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Aurora Mobile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2011, Aurora Mobile (NASDAQ: JG) is a leading provider of customer engagement and marketing technology services. The Company is dedicated to empowering global enterprises with stable, efficient, and intelligent customer interaction solutions. Leveraging its first-mover advantage in mobile messaging, Aurora Mobile has evolved into a comprehensive platform that integrates Omnichannel Engagement, AI-Driven Marketing, Advanced AI Customer Support, and Frictionless Identity Security. Through its flagship brand EngageLab and its robust AI infrastructure GPTBots.ai, the Company helps businesses achieve seamless customer reach, automate complex marketing journeys, and optimize service efficiency with AI agents, accelerating digital transformation for clients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https://ir.aurora-mobile.com/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Aurora Mobile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ir@aurora-mobile.com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Christensen Advisory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Xiaoyan 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Xiaoyan.Su@christensencomms.com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specified rates solely for the convenience of the reader. Unless otherwise noted, all translations from RMB to U.S. dollars are made at a rate of RMB6.7851 to US$1.00, the exchange rate set forth in the H.10 statistical release of the Board of Governors of the Federal Reserve System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AURORA MOBILE LIMITED </w:t>
        <w:br/>
        <w:t>UNAUDITED INTERIM CONDENSED CONSOLIDATED INCOME STATEMENTS</w:t>
        <w:br/>
        <w:t>(Amounts in thousands of Renminbi (“RMB”) and US dollars (“US$”), except for number of shares and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12"/>
        <w:gridCol w:w="60"/>
        <w:gridCol w:w="62"/>
        <w:gridCol w:w="867"/>
        <w:gridCol w:w="80"/>
        <w:gridCol w:w="60"/>
        <w:gridCol w:w="65"/>
        <w:gridCol w:w="910"/>
        <w:gridCol w:w="80"/>
        <w:gridCol w:w="60"/>
        <w:gridCol w:w="60"/>
        <w:gridCol w:w="830"/>
        <w:gridCol w:w="80"/>
        <w:gridCol w:w="60"/>
        <w:gridCol w:w="60"/>
        <w:gridCol w:w="830"/>
        <w:gridCol w:w="80"/>
        <w:gridCol w:w="60"/>
        <w:gridCol w:w="62"/>
        <w:gridCol w:w="867"/>
        <w:gridCol w:w="80"/>
        <w:gridCol w:w="60"/>
        <w:gridCol w:w="60"/>
        <w:gridCol w:w="830"/>
        <w:gridCol w:w="80"/>
        <w:gridCol w:w="60"/>
        <w:gridCol w:w="60"/>
        <w:gridCol w:w="830"/>
        <w:gridCol w:w="100"/>
      </w:tblGrid>
      <w:tr>
        <w:trPr/>
        <w:tc>
          <w:tcPr>
            <w:tcW w:w="2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8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Six months ended</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2026</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89,860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93,284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101,226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178,821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194,510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28,667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(30,215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(27,007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(32,039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(4,722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(60,332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(59,046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(8,702</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66,277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69,187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118,489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135,464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19,965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(57,987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(8,546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(45,954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(3,169</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(60,799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(66,106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(67,586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(9,960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(121,385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(133,692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(19,704</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(944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exchange gain/(loss),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from fair value 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488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benefits/(expenses)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(loss)/income attributable to Aurora Mobile Limited’s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(2,573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(loss)/income per share, for Class A and Class B common shares: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and B Common Shares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and B Common Shares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used in net (loss)/income per share computation: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Common Shares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63,394,534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62,620,381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62,237,640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62,237,640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63,325,008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62,427,953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62,427,953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B Common Shares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Common Shares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63,394,534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66,868,866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66,635,022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66,635,022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63,325,008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66,405,620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66,405,620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B Common Shares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17,000,189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other comprehensive (loss)/income,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(1,615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(1,530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(225</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comprehensive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Less: comprehensive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 (loss)/income attributable to Aurora Mobile Limited’s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204</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AURORA MOBILE LIMITED </w:t>
        <w:br/>
        <w:t xml:space="preserve">UNAUDITED INTERIM CONDENSED CONSOLIDATED BALANCE SHEETS </w:t>
        <w:br/>
        <w:t>(Amounts in thousands of Renminbi (“RMB”) and US dollars (“US$”))</w:t>
      </w:r>
    </w:p>
    <w:p>
      <w:pPr>
        <w:pStyle w:val="TextBody"/>
        <w:bidi w:val="0"/>
        <w:spacing w:before="0" w:after="283"/>
        <w:jc w:val="left"/>
        <w:rPr/>
      </w:pPr>
      <w:r>
        <w:rPr/>
        <w:t> </w:t>
      </w:r>
    </w:p>
    <w:tbl>
      <w:tblPr>
        <w:tblW w:w="8194" w:type="dxa"/>
        <w:jc w:val="left"/>
        <w:tblInd w:w="0" w:type="dxa"/>
        <w:tblLayout w:type="fixed"/>
        <w:tblCellMar>
          <w:top w:w="0" w:type="dxa"/>
          <w:left w:w="0" w:type="dxa"/>
          <w:bottom w:w="0" w:type="dxa"/>
          <w:right w:w="0" w:type="dxa"/>
        </w:tblCellMar>
      </w:tblPr>
      <w:tblGrid>
        <w:gridCol w:w="4445"/>
        <w:gridCol w:w="60"/>
        <w:gridCol w:w="105"/>
        <w:gridCol w:w="1489"/>
        <w:gridCol w:w="80"/>
        <w:gridCol w:w="60"/>
        <w:gridCol w:w="60"/>
        <w:gridCol w:w="845"/>
        <w:gridCol w:w="80"/>
        <w:gridCol w:w="60"/>
        <w:gridCol w:w="60"/>
        <w:gridCol w:w="755"/>
        <w:gridCol w:w="9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167,955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416,165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59,472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44,890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316,740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Aurora Mobile Limited’s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416,165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59,472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AURORA MOBILE LIMITED </w:t>
        <w:br/>
        <w:t>RECONCILIATION OF GAAP AND NON-GAAP RESULTS</w:t>
        <w:br/>
        <w:t>(Amounts in thousands of Renminbi (“RMB”) and US dollars (“US$”))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28"/>
        <w:gridCol w:w="60"/>
        <w:gridCol w:w="117"/>
        <w:gridCol w:w="839"/>
        <w:gridCol w:w="80"/>
        <w:gridCol w:w="60"/>
        <w:gridCol w:w="132"/>
        <w:gridCol w:w="945"/>
        <w:gridCol w:w="80"/>
        <w:gridCol w:w="60"/>
        <w:gridCol w:w="62"/>
        <w:gridCol w:w="446"/>
        <w:gridCol w:w="62"/>
        <w:gridCol w:w="62"/>
        <w:gridCol w:w="62"/>
        <w:gridCol w:w="304"/>
        <w:gridCol w:w="60"/>
        <w:gridCol w:w="60"/>
        <w:gridCol w:w="105"/>
        <w:gridCol w:w="856"/>
        <w:gridCol w:w="80"/>
        <w:gridCol w:w="60"/>
        <w:gridCol w:w="62"/>
        <w:gridCol w:w="446"/>
        <w:gridCol w:w="62"/>
        <w:gridCol w:w="62"/>
        <w:gridCol w:w="62"/>
        <w:gridCol w:w="304"/>
        <w:gridCol w:w="87"/>
      </w:tblGrid>
      <w:tr>
        <w:trPr/>
        <w:tc>
          <w:tcPr>
            <w:tcW w:w="452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Six months ended</w:t>
            </w:r>
          </w:p>
        </w:tc>
        <w:tc>
          <w:tcPr>
            <w:tcW w:w="8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June 30, 2026</w:t>
            </w:r>
          </w:p>
        </w:tc>
        <w:tc>
          <w:tcPr>
            <w:tcW w:w="8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366"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w:t>
            </w:r>
          </w:p>
        </w:tc>
        <w:tc>
          <w:tcPr>
            <w:tcW w:w="8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Reconciliation of Net Income/(Loss) to Adjusted Net Income/(Loss):</w:t>
            </w:r>
          </w:p>
        </w:tc>
        <w:tc>
          <w:tcPr>
            <w:tcW w:w="6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11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3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7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6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8"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66"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479</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778</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4,028</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Reconciliation of Net Income/(Loss) to Adjusted EBITDA:</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3,250</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479</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(benefits)/expenses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461</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2,125</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w:t>
            </w:r>
          </w:p>
        </w:tc>
        <w:tc>
          <w:tcPr>
            <w:tcW w:w="8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3,475</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5,918</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872</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45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778</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8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6,696</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 xml:space="preserve">AURORA MOBILE LIMITED </w:t>
        <w:br/>
        <w:t xml:space="preserve">UNAUDITED SAAS BUSINESSES REVENUE </w:t>
        <w:br/>
        <w:t>(Amounts in thousands of Renminbi (“RMB”) and US dollars (“US$”))</w:t>
      </w:r>
    </w:p>
    <w:p>
      <w:pPr>
        <w:pStyle w:val="TextBody"/>
        <w:bidi w:val="0"/>
        <w:spacing w:before="0" w:after="283"/>
        <w:jc w:val="left"/>
        <w:rPr/>
      </w:pPr>
      <w:r>
        <w:rPr/>
        <w:t> </w:t>
      </w:r>
    </w:p>
    <w:tbl>
      <w:tblPr>
        <w:tblW w:w="10002" w:type="dxa"/>
        <w:jc w:val="left"/>
        <w:tblInd w:w="0" w:type="dxa"/>
        <w:tblLayout w:type="fixed"/>
        <w:tblCellMar>
          <w:top w:w="0" w:type="dxa"/>
          <w:left w:w="0" w:type="dxa"/>
          <w:bottom w:w="0" w:type="dxa"/>
          <w:right w:w="0" w:type="dxa"/>
        </w:tblCellMar>
      </w:tblPr>
      <w:tblGrid>
        <w:gridCol w:w="1835"/>
        <w:gridCol w:w="60"/>
        <w:gridCol w:w="107"/>
        <w:gridCol w:w="1052"/>
        <w:gridCol w:w="185"/>
        <w:gridCol w:w="60"/>
        <w:gridCol w:w="120"/>
        <w:gridCol w:w="1189"/>
        <w:gridCol w:w="185"/>
        <w:gridCol w:w="60"/>
        <w:gridCol w:w="60"/>
        <w:gridCol w:w="695"/>
        <w:gridCol w:w="185"/>
        <w:gridCol w:w="60"/>
        <w:gridCol w:w="60"/>
        <w:gridCol w:w="590"/>
        <w:gridCol w:w="185"/>
        <w:gridCol w:w="60"/>
        <w:gridCol w:w="92"/>
        <w:gridCol w:w="1067"/>
        <w:gridCol w:w="185"/>
        <w:gridCol w:w="60"/>
        <w:gridCol w:w="60"/>
        <w:gridCol w:w="695"/>
        <w:gridCol w:w="185"/>
        <w:gridCol w:w="60"/>
        <w:gridCol w:w="60"/>
        <w:gridCol w:w="590"/>
        <w:gridCol w:w="200"/>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0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Developer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64,407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79,886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126,729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22,330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53,659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Vertical Applications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21,655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42,995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6,337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89,860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93,284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101,226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14,919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178,821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28,667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59,645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118,489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135,464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3265</Words>
  <Characters>18315</Characters>
  <CharactersWithSpaces>22599</CharactersWithSpaces>
  <Paragraphs>2651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